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77193"/>
      <w:bookmarkStart w:id="1" w:name="_Toc15377425"/>
      <w:bookmarkStart w:id="2" w:name="_Toc15378441"/>
      <w:bookmarkStart w:id="3" w:name="_Toc15396475"/>
      <w:bookmarkStart w:id="4" w:name="_Toc15396597"/>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6" w:name="_Toc12258"/>
      <w:r>
        <w:rPr>
          <w:rFonts w:hint="default" w:ascii="Times New Roman" w:hAnsi="Times New Roman" w:eastAsia="方正小标宋简体" w:cs="Times New Roman"/>
          <w:color w:val="000000"/>
          <w:sz w:val="72"/>
          <w:szCs w:val="72"/>
        </w:rPr>
        <w:t>平昌</w:t>
      </w:r>
      <w:r>
        <w:rPr>
          <w:rFonts w:hint="default" w:ascii="Times New Roman" w:hAnsi="Times New Roman" w:eastAsia="方正小标宋简体" w:cs="Times New Roman"/>
          <w:color w:val="auto"/>
          <w:sz w:val="72"/>
          <w:szCs w:val="72"/>
        </w:rPr>
        <w:t>县</w:t>
      </w:r>
      <w:r>
        <w:rPr>
          <w:rFonts w:hint="eastAsia" w:eastAsia="方正小标宋简体" w:cs="Times New Roman"/>
          <w:color w:val="auto"/>
          <w:sz w:val="72"/>
          <w:szCs w:val="72"/>
          <w:lang w:eastAsia="zh-CN"/>
        </w:rPr>
        <w:t>公安</w:t>
      </w:r>
      <w:r>
        <w:rPr>
          <w:rFonts w:hint="eastAsia" w:ascii="Times New Roman" w:hAnsi="Times New Roman" w:eastAsia="方正小标宋简体" w:cs="Times New Roman"/>
          <w:color w:val="000000"/>
          <w:sz w:val="72"/>
          <w:szCs w:val="72"/>
          <w:lang w:val="en-US" w:eastAsia="zh-CN"/>
        </w:rPr>
        <w:t>局</w:t>
      </w: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bookmarkEnd w:id="5"/>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7" w:name="_Toc15378442"/>
      <w:bookmarkStart w:id="8" w:name="_Toc15306268"/>
      <w:bookmarkStart w:id="9" w:name="_Toc15396476"/>
      <w:bookmarkStart w:id="10" w:name="_Toc15377194"/>
      <w:bookmarkStart w:id="11" w:name="_Toc15396598"/>
      <w:bookmarkStart w:id="12" w:name="_Toc15377426"/>
      <w:bookmarkStart w:id="13" w:name="_Toc31784"/>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r>
        <w:rPr>
          <w:rFonts w:hint="eastAsia" w:ascii="方正小标宋简体" w:hAnsi="方正小标宋简体" w:eastAsia="方正小标宋简体" w:cs="方正小标宋简体"/>
          <w:color w:val="auto"/>
          <w:sz w:val="72"/>
          <w:szCs w:val="72"/>
          <w:highlight w:val="none"/>
          <w:lang w:eastAsia="zh-CN"/>
        </w:rPr>
        <w:t>编制说明</w:t>
      </w:r>
      <w:bookmarkEnd w:id="13"/>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4" w:name="_Toc22071"/>
      <w:r>
        <w:rPr>
          <w:rFonts w:hint="eastAsia" w:ascii="方正小标宋简体" w:hAnsi="方正小标宋简体" w:eastAsia="方正小标宋简体" w:cs="方正小标宋简体"/>
          <w:color w:val="auto"/>
          <w:sz w:val="72"/>
          <w:szCs w:val="72"/>
          <w:highlight w:val="none"/>
        </w:rPr>
        <w:t>(</w:t>
      </w:r>
      <w:r>
        <w:rPr>
          <w:rFonts w:hint="eastAsia" w:ascii="方正小标宋简体" w:hAnsi="方正小标宋简体" w:eastAsia="方正小标宋简体" w:cs="方正小标宋简体"/>
          <w:color w:val="auto"/>
          <w:sz w:val="72"/>
          <w:szCs w:val="72"/>
          <w:highlight w:val="none"/>
          <w:lang w:eastAsia="zh-CN"/>
        </w:rPr>
        <w:t>汇总</w:t>
      </w:r>
      <w:r>
        <w:rPr>
          <w:rFonts w:hint="eastAsia" w:ascii="方正小标宋简体" w:hAnsi="方正小标宋简体" w:eastAsia="方正小标宋简体" w:cs="方正小标宋简体"/>
          <w:color w:val="auto"/>
          <w:sz w:val="72"/>
          <w:szCs w:val="72"/>
          <w:highlight w:val="none"/>
        </w:rPr>
        <w:t>)</w:t>
      </w:r>
      <w:bookmarkEnd w:id="14"/>
    </w:p>
    <w:p>
      <w:pPr>
        <w:widowControl/>
        <w:jc w:val="center"/>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7"/>
        <w:rPr>
          <w:sz w:val="10"/>
          <w:szCs w:val="6"/>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31</w:t>
      </w:r>
      <w:r>
        <w:rPr>
          <w:rFonts w:hint="eastAsia"/>
          <w:color w:val="auto"/>
          <w:highlight w:val="none"/>
        </w:rPr>
        <w:t>日</w:t>
      </w:r>
    </w:p>
    <w:sdt>
      <w:sdtPr>
        <w:rPr>
          <w:rFonts w:ascii="宋体" w:hAnsi="宋体" w:eastAsia="宋体" w:cs="Times New Roman"/>
          <w:kern w:val="2"/>
          <w:sz w:val="21"/>
          <w:szCs w:val="24"/>
          <w:lang w:val="en-US" w:eastAsia="zh-CN" w:bidi="ar-SA"/>
        </w:rPr>
        <w:id w:val="147457123"/>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rPr>
          </w:pPr>
          <w:bookmarkStart w:id="15" w:name="_Toc15377196"/>
          <w:bookmarkStart w:id="16" w:name="_Toc15396599"/>
          <w:r>
            <w:fldChar w:fldCharType="begin"/>
          </w:r>
          <w:r>
            <w:instrText xml:space="preserve">TOC \o "1-2" \h \u </w:instrText>
          </w:r>
          <w:r>
            <w:fldChar w:fldCharType="separate"/>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_Toc31058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 xml:space="preserve">第一部分 </w:t>
          </w:r>
          <w:r>
            <w:rPr>
              <w:rFonts w:hint="eastAsia" w:ascii="宋体" w:hAnsi="宋体" w:eastAsia="宋体" w:cs="宋体"/>
              <w:b/>
              <w:bCs w:val="0"/>
              <w:sz w:val="28"/>
              <w:szCs w:val="28"/>
              <w:highlight w:val="none"/>
            </w:rPr>
            <w:t>部门概况</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_Toc31058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_Toc29276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一、基</w:t>
          </w:r>
          <w:r>
            <w:rPr>
              <w:rFonts w:hint="eastAsia" w:ascii="宋体" w:hAnsi="宋体" w:eastAsia="宋体" w:cs="宋体"/>
              <w:bCs w:val="0"/>
              <w:sz w:val="28"/>
              <w:szCs w:val="28"/>
              <w:highlight w:val="none"/>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_Toc29276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_Toc15779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二、机</w:t>
          </w:r>
          <w:r>
            <w:rPr>
              <w:rFonts w:hint="eastAsia" w:ascii="宋体" w:hAnsi="宋体" w:eastAsia="宋体" w:cs="宋体"/>
              <w:bCs w:val="0"/>
              <w:sz w:val="28"/>
              <w:szCs w:val="28"/>
              <w:highlight w:val="none"/>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_Toc15779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_Toc13262 </w:instrText>
          </w:r>
          <w:r>
            <w:rPr>
              <w:rFonts w:hint="eastAsia" w:ascii="宋体" w:hAnsi="宋体" w:eastAsia="宋体" w:cs="宋体"/>
              <w:b/>
              <w:sz w:val="28"/>
              <w:szCs w:val="28"/>
            </w:rPr>
            <w:fldChar w:fldCharType="separate"/>
          </w:r>
          <w:r>
            <w:rPr>
              <w:rFonts w:hint="eastAsia" w:ascii="宋体" w:hAnsi="宋体" w:eastAsia="宋体" w:cs="宋体"/>
              <w:b/>
              <w:bCs/>
              <w:sz w:val="28"/>
              <w:szCs w:val="28"/>
              <w:highlight w:val="none"/>
            </w:rPr>
            <w:t xml:space="preserve">第二部分 </w:t>
          </w:r>
          <w:r>
            <w:rPr>
              <w:rFonts w:hint="eastAsia" w:ascii="宋体" w:hAnsi="宋体" w:eastAsia="宋体" w:cs="宋体"/>
              <w:b/>
              <w:bCs/>
              <w:sz w:val="28"/>
              <w:szCs w:val="28"/>
              <w:highlight w:val="none"/>
              <w:lang w:val="en-US" w:eastAsia="zh-CN"/>
            </w:rPr>
            <w:t>2021年度</w:t>
          </w:r>
          <w:r>
            <w:rPr>
              <w:rFonts w:hint="eastAsia" w:ascii="宋体" w:hAnsi="宋体" w:eastAsia="宋体" w:cs="宋体"/>
              <w:b/>
              <w:bCs/>
              <w:sz w:val="28"/>
              <w:szCs w:val="28"/>
              <w:highlight w:val="none"/>
            </w:rPr>
            <w:t>部门决算情况说明</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_Toc13262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7</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_Toc27659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一、 </w:t>
          </w:r>
          <w:r>
            <w:rPr>
              <w:rFonts w:hint="eastAsia" w:ascii="宋体" w:hAnsi="宋体" w:eastAsia="宋体" w:cs="宋体"/>
              <w:sz w:val="28"/>
              <w:szCs w:val="28"/>
              <w:highlight w:val="none"/>
            </w:rPr>
            <w:t>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_Toc27659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_Toc15207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二、 </w:t>
          </w:r>
          <w:r>
            <w:rPr>
              <w:rFonts w:hint="eastAsia" w:ascii="宋体" w:hAnsi="宋体" w:eastAsia="宋体" w:cs="宋体"/>
              <w:sz w:val="28"/>
              <w:szCs w:val="28"/>
              <w:highlight w:val="none"/>
            </w:rPr>
            <w:t>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_Toc15207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_Toc10068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三、 </w:t>
          </w:r>
          <w:r>
            <w:rPr>
              <w:rFonts w:hint="eastAsia" w:ascii="宋体" w:hAnsi="宋体" w:eastAsia="宋体" w:cs="宋体"/>
              <w:sz w:val="28"/>
              <w:szCs w:val="28"/>
              <w:highlight w:val="none"/>
            </w:rPr>
            <w:t>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_Toc10068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_Toc21760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_Toc21760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_Toc13846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_Toc13846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_Toc5869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_Toc5869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_Toc14181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_Toc14181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_Toc7299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_Toc7299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_Toc25358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九、 </w:t>
          </w:r>
          <w:r>
            <w:rPr>
              <w:rFonts w:hint="eastAsia" w:ascii="宋体" w:hAnsi="宋体" w:eastAsia="宋体" w:cs="宋体"/>
              <w:sz w:val="28"/>
              <w:szCs w:val="28"/>
              <w:highlight w:val="none"/>
            </w:rPr>
            <w:t>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_Toc25358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_Toc4461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十、 </w:t>
          </w:r>
          <w:r>
            <w:rPr>
              <w:rFonts w:hint="eastAsia" w:ascii="宋体" w:hAnsi="宋体" w:eastAsia="宋体" w:cs="宋体"/>
              <w:sz w:val="28"/>
              <w:szCs w:val="28"/>
              <w:highlight w:val="none"/>
            </w:rPr>
            <w:t>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_Toc4461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_Toc5438 </w:instrText>
          </w:r>
          <w:r>
            <w:rPr>
              <w:rFonts w:hint="eastAsia" w:ascii="宋体" w:hAnsi="宋体" w:eastAsia="宋体" w:cs="宋体"/>
              <w:b/>
              <w:sz w:val="28"/>
              <w:szCs w:val="28"/>
            </w:rPr>
            <w:fldChar w:fldCharType="separate"/>
          </w:r>
          <w:r>
            <w:rPr>
              <w:rFonts w:hint="eastAsia" w:ascii="宋体" w:hAnsi="宋体" w:eastAsia="宋体" w:cs="宋体"/>
              <w:b/>
              <w:sz w:val="28"/>
              <w:szCs w:val="28"/>
            </w:rPr>
            <w:t xml:space="preserve">第三部分 </w:t>
          </w:r>
          <w:r>
            <w:rPr>
              <w:rFonts w:hint="eastAsia" w:ascii="宋体" w:hAnsi="宋体" w:eastAsia="宋体" w:cs="宋体"/>
              <w:b/>
              <w:sz w:val="28"/>
              <w:szCs w:val="28"/>
              <w:highlight w:val="none"/>
            </w:rPr>
            <w:t>名词解释</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_Toc5438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17</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_Toc24110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第四部分 附件</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_Toc24110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20</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_Toc17059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附件</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_Toc17059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_Toc17059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附件</w:t>
          </w:r>
          <w:r>
            <w:rPr>
              <w:rFonts w:hint="eastAsia" w:ascii="宋体" w:hAnsi="宋体" w:eastAsia="宋体" w:cs="宋体"/>
              <w:sz w:val="28"/>
              <w:szCs w:val="28"/>
              <w:highlight w:val="none"/>
              <w:lang w:val="en-US" w:eastAsia="zh-CN"/>
            </w:rPr>
            <w:t>2</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_Toc17059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7</w:t>
          </w:r>
        </w:p>
        <w:p>
          <w:pPr>
            <w:pStyle w:val="34"/>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b/>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HYPERLINK \l _Toc16994 </w:instrText>
          </w:r>
          <w:r>
            <w:rPr>
              <w:rFonts w:hint="eastAsia" w:ascii="宋体" w:hAnsi="宋体" w:eastAsia="宋体" w:cs="宋体"/>
              <w:b/>
              <w:sz w:val="28"/>
              <w:szCs w:val="28"/>
            </w:rPr>
            <w:fldChar w:fldCharType="separate"/>
          </w:r>
          <w:r>
            <w:rPr>
              <w:rFonts w:hint="eastAsia" w:ascii="宋体" w:hAnsi="宋体" w:eastAsia="宋体" w:cs="宋体"/>
              <w:b/>
              <w:sz w:val="28"/>
              <w:szCs w:val="28"/>
              <w:highlight w:val="none"/>
            </w:rPr>
            <w:t>第五部分 附表</w:t>
          </w:r>
          <w:r>
            <w:rPr>
              <w:rFonts w:hint="eastAsia" w:ascii="宋体" w:hAnsi="宋体" w:eastAsia="宋体" w:cs="宋体"/>
              <w:b/>
              <w:sz w:val="28"/>
              <w:szCs w:val="28"/>
            </w:rPr>
            <w:tab/>
          </w: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 PAGEREF _Toc16994 \h </w:instrText>
          </w:r>
          <w:r>
            <w:rPr>
              <w:rFonts w:hint="eastAsia" w:ascii="宋体" w:hAnsi="宋体" w:eastAsia="宋体" w:cs="宋体"/>
              <w:b/>
              <w:sz w:val="28"/>
              <w:szCs w:val="28"/>
            </w:rPr>
            <w:fldChar w:fldCharType="separate"/>
          </w:r>
          <w:r>
            <w:rPr>
              <w:rFonts w:hint="eastAsia" w:ascii="宋体" w:hAnsi="宋体" w:eastAsia="宋体" w:cs="宋体"/>
              <w:b/>
              <w:sz w:val="28"/>
              <w:szCs w:val="28"/>
            </w:rPr>
            <w:t>41</w:t>
          </w:r>
          <w:r>
            <w:rPr>
              <w:rFonts w:hint="eastAsia" w:ascii="宋体" w:hAnsi="宋体" w:eastAsia="宋体" w:cs="宋体"/>
              <w:b/>
              <w:sz w:val="28"/>
              <w:szCs w:val="28"/>
            </w:rPr>
            <w:fldChar w:fldCharType="end"/>
          </w:r>
          <w:r>
            <w:rPr>
              <w:rFonts w:hint="eastAsia" w:ascii="宋体" w:hAnsi="宋体" w:eastAsia="宋体" w:cs="宋体"/>
              <w:b/>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_Toc2893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一、收</w:t>
          </w:r>
          <w:r>
            <w:rPr>
              <w:rFonts w:hint="eastAsia" w:ascii="宋体" w:hAnsi="宋体" w:eastAsia="宋体" w:cs="宋体"/>
              <w:bCs w:val="0"/>
              <w:sz w:val="28"/>
              <w:szCs w:val="28"/>
              <w:highlight w:val="none"/>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_Toc2893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_Toc17146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二、收</w:t>
          </w:r>
          <w:r>
            <w:rPr>
              <w:rFonts w:hint="eastAsia" w:ascii="宋体" w:hAnsi="宋体" w:eastAsia="宋体" w:cs="宋体"/>
              <w:bCs w:val="0"/>
              <w:sz w:val="28"/>
              <w:szCs w:val="28"/>
              <w:highlight w:val="none"/>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_Toc17146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_Toc6679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三、</w:t>
          </w:r>
          <w:r>
            <w:rPr>
              <w:rFonts w:hint="eastAsia" w:ascii="宋体" w:hAnsi="宋体" w:eastAsia="宋体" w:cs="宋体"/>
              <w:sz w:val="28"/>
              <w:szCs w:val="28"/>
              <w:highlight w:val="none"/>
            </w:rPr>
            <w:t>支</w:t>
          </w:r>
          <w:r>
            <w:rPr>
              <w:rFonts w:hint="eastAsia" w:ascii="宋体" w:hAnsi="宋体" w:eastAsia="宋体" w:cs="宋体"/>
              <w:bCs w:val="0"/>
              <w:sz w:val="28"/>
              <w:szCs w:val="28"/>
              <w:highlight w:val="none"/>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_Toc6679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_Toc14851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四、</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_Toc14851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_Toc19300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五、</w:t>
          </w:r>
          <w:r>
            <w:rPr>
              <w:rFonts w:hint="eastAsia" w:ascii="宋体" w:hAnsi="宋体" w:eastAsia="宋体" w:cs="宋体"/>
              <w:sz w:val="28"/>
              <w:szCs w:val="28"/>
              <w:highlight w:val="none"/>
            </w:rPr>
            <w:t>财</w:t>
          </w:r>
          <w:r>
            <w:rPr>
              <w:rFonts w:hint="eastAsia" w:ascii="宋体" w:hAnsi="宋体" w:eastAsia="宋体" w:cs="宋体"/>
              <w:bCs w:val="0"/>
              <w:sz w:val="28"/>
              <w:szCs w:val="28"/>
              <w:highlight w:val="none"/>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_Toc19300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_Toc24832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六、</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_Toc24832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_Toc11104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七、</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_Toc11104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_Toc12635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八、</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_Toc12635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_Toc7178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九、</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_Toc7178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_Toc8776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w:t>
          </w:r>
          <w:r>
            <w:rPr>
              <w:rFonts w:hint="eastAsia" w:ascii="宋体" w:hAnsi="宋体" w:eastAsia="宋体" w:cs="宋体"/>
              <w:sz w:val="28"/>
              <w:szCs w:val="28"/>
              <w:highlight w:val="none"/>
            </w:rPr>
            <w:t>一</w:t>
          </w:r>
          <w:r>
            <w:rPr>
              <w:rFonts w:hint="eastAsia" w:ascii="宋体" w:hAnsi="宋体" w:eastAsia="宋体" w:cs="宋体"/>
              <w:bCs w:val="0"/>
              <w:sz w:val="28"/>
              <w:szCs w:val="28"/>
              <w:highlight w:val="none"/>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_Toc8776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_Toc18459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十一、</w:t>
          </w:r>
          <w:r>
            <w:rPr>
              <w:rFonts w:hint="eastAsia" w:ascii="宋体" w:hAnsi="宋体" w:eastAsia="宋体" w:cs="宋体"/>
              <w:sz w:val="28"/>
              <w:szCs w:val="28"/>
              <w:highlight w:val="none"/>
            </w:rPr>
            <w:t>政</w:t>
          </w:r>
          <w:r>
            <w:rPr>
              <w:rFonts w:hint="eastAsia" w:ascii="宋体" w:hAnsi="宋体" w:eastAsia="宋体" w:cs="宋体"/>
              <w:bCs w:val="0"/>
              <w:sz w:val="28"/>
              <w:szCs w:val="28"/>
              <w:highlight w:val="none"/>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_Toc18459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_Toc19118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十二、</w:t>
          </w:r>
          <w:r>
            <w:rPr>
              <w:rFonts w:hint="eastAsia" w:ascii="宋体" w:hAnsi="宋体" w:eastAsia="宋体" w:cs="宋体"/>
              <w:sz w:val="28"/>
              <w:szCs w:val="28"/>
              <w:highlight w:val="none"/>
            </w:rPr>
            <w:t>政</w:t>
          </w:r>
          <w:r>
            <w:rPr>
              <w:rFonts w:hint="eastAsia" w:ascii="宋体" w:hAnsi="宋体" w:eastAsia="宋体" w:cs="宋体"/>
              <w:bCs w:val="0"/>
              <w:sz w:val="28"/>
              <w:szCs w:val="28"/>
              <w:highlight w:val="none"/>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_Toc19118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_Toc19902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rPr>
            <w:t>十三、</w:t>
          </w:r>
          <w:r>
            <w:rPr>
              <w:rFonts w:hint="eastAsia" w:ascii="宋体" w:hAnsi="宋体" w:eastAsia="宋体" w:cs="宋体"/>
              <w:sz w:val="28"/>
              <w:szCs w:val="28"/>
              <w:highlight w:val="none"/>
            </w:rPr>
            <w:t>国</w:t>
          </w:r>
          <w:r>
            <w:rPr>
              <w:rFonts w:hint="eastAsia" w:ascii="宋体" w:hAnsi="宋体" w:eastAsia="宋体" w:cs="宋体"/>
              <w:bCs w:val="0"/>
              <w:sz w:val="28"/>
              <w:szCs w:val="28"/>
              <w:highlight w:val="none"/>
            </w:rPr>
            <w:t>有资本经营预算</w:t>
          </w:r>
          <w:r>
            <w:rPr>
              <w:rFonts w:hint="eastAsia" w:ascii="宋体" w:hAnsi="宋体" w:eastAsia="宋体" w:cs="宋体"/>
              <w:bCs w:val="0"/>
              <w:sz w:val="28"/>
              <w:szCs w:val="28"/>
              <w:highlight w:val="none"/>
              <w:lang w:eastAsia="zh-CN"/>
            </w:rPr>
            <w:t>财政拨款收入</w:t>
          </w:r>
          <w:r>
            <w:rPr>
              <w:rFonts w:hint="eastAsia" w:ascii="宋体" w:hAnsi="宋体" w:eastAsia="宋体" w:cs="宋体"/>
              <w:bCs w:val="0"/>
              <w:sz w:val="28"/>
              <w:szCs w:val="28"/>
              <w:highlight w:val="none"/>
            </w:rPr>
            <w:t>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_Toc19902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5"/>
            <w:keepNext w:val="0"/>
            <w:keepLines w:val="0"/>
            <w:pageBreakBefore w:val="0"/>
            <w:widowControl/>
            <w:tabs>
              <w:tab w:val="right" w:leader="hyphen" w:pos="8306"/>
            </w:tabs>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_Toc12132 </w:instrText>
          </w:r>
          <w:r>
            <w:rPr>
              <w:rFonts w:hint="eastAsia" w:ascii="宋体" w:hAnsi="宋体" w:eastAsia="宋体" w:cs="宋体"/>
              <w:sz w:val="28"/>
              <w:szCs w:val="28"/>
            </w:rPr>
            <w:fldChar w:fldCharType="separate"/>
          </w:r>
          <w:r>
            <w:rPr>
              <w:rFonts w:hint="eastAsia" w:ascii="宋体" w:hAnsi="宋体" w:eastAsia="宋体" w:cs="宋体"/>
              <w:bCs w:val="0"/>
              <w:sz w:val="28"/>
              <w:szCs w:val="28"/>
              <w:highlight w:val="none"/>
              <w:lang w:eastAsia="zh-CN"/>
            </w:rPr>
            <w:t>十四、国有资本经营预算财政拨款支出决算表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_Toc12132 \h </w:instrText>
          </w:r>
          <w:r>
            <w:rPr>
              <w:rFonts w:hint="eastAsia" w:ascii="宋体" w:hAnsi="宋体" w:eastAsia="宋体" w:cs="宋体"/>
              <w:sz w:val="28"/>
              <w:szCs w:val="28"/>
            </w:rPr>
            <w:fldChar w:fldCharType="separate"/>
          </w:r>
          <w:r>
            <w:rPr>
              <w:rFonts w:hint="eastAsia" w:ascii="宋体" w:hAnsi="宋体" w:eastAsia="宋体" w:cs="宋体"/>
              <w:sz w:val="28"/>
              <w:szCs w:val="28"/>
            </w:rPr>
            <w:t>41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r>
            <w:rPr>
              <w:b/>
            </w:rPr>
            <w:fldChar w:fldCharType="end"/>
          </w:r>
        </w:p>
      </w:sdtContent>
    </w:sdt>
    <w:p>
      <w:pPr>
        <w:pageBreakBefore w:val="0"/>
        <w:widowControl/>
        <w:kinsoku/>
        <w:wordWrap/>
        <w:overflowPunct/>
        <w:topLinePunct w:val="0"/>
        <w:bidi w:val="0"/>
        <w:spacing w:line="560" w:lineRule="exact"/>
        <w:jc w:val="righ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bookmarkStart w:id="17" w:name="_Toc31058"/>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5"/>
      <w:bookmarkEnd w:id="16"/>
      <w:bookmarkEnd w:id="17"/>
    </w:p>
    <w:p>
      <w:pPr>
        <w:pStyle w:val="4"/>
        <w:rPr>
          <w:rStyle w:val="29"/>
          <w:rFonts w:ascii="仿宋" w:hAnsi="仿宋" w:eastAsia="仿宋"/>
          <w:b w:val="0"/>
          <w:bCs w:val="0"/>
          <w:color w:val="auto"/>
          <w:highlight w:val="none"/>
        </w:rPr>
      </w:pPr>
      <w:bookmarkStart w:id="18" w:name="_Toc15377197"/>
      <w:bookmarkStart w:id="19" w:name="_Toc15396600"/>
      <w:bookmarkStart w:id="20" w:name="_Toc29276"/>
      <w:r>
        <w:rPr>
          <w:rFonts w:hint="eastAsia" w:ascii="黑体" w:hAnsi="黑体" w:eastAsia="黑体"/>
          <w:b w:val="0"/>
          <w:color w:val="auto"/>
          <w:highlight w:val="none"/>
        </w:rPr>
        <w:t>一、基</w:t>
      </w:r>
      <w:r>
        <w:rPr>
          <w:rStyle w:val="29"/>
          <w:rFonts w:hint="eastAsia" w:ascii="黑体" w:hAnsi="黑体" w:eastAsia="黑体"/>
          <w:b w:val="0"/>
          <w:bCs w:val="0"/>
          <w:color w:val="auto"/>
          <w:highlight w:val="none"/>
        </w:rPr>
        <w:t>本职能及主要工作</w:t>
      </w:r>
      <w:bookmarkEnd w:id="18"/>
      <w:bookmarkEnd w:id="19"/>
      <w:bookmarkEnd w:id="20"/>
    </w:p>
    <w:p>
      <w:pPr>
        <w:pStyle w:val="7"/>
        <w:adjustRightInd w:val="0"/>
        <w:snapToGrid w:val="0"/>
        <w:spacing w:before="72" w:line="240" w:lineRule="auto"/>
        <w:ind w:firstLine="640" w:firstLineChars="200"/>
        <w:rPr>
          <w:rFonts w:hint="eastAsia" w:ascii="仿宋" w:hAnsi="仿宋" w:eastAsia="仿宋"/>
          <w:bCs/>
          <w:color w:val="auto"/>
          <w:sz w:val="32"/>
          <w:szCs w:val="32"/>
          <w:highlight w:val="none"/>
        </w:rPr>
      </w:pPr>
      <w:bookmarkStart w:id="21" w:name="_Toc15378445"/>
      <w:bookmarkStart w:id="22" w:name="_Toc15377198"/>
      <w:r>
        <w:rPr>
          <w:rFonts w:hint="eastAsia" w:ascii="仿宋" w:hAnsi="仿宋" w:eastAsia="仿宋"/>
          <w:bCs/>
          <w:color w:val="auto"/>
          <w:sz w:val="32"/>
          <w:szCs w:val="32"/>
          <w:highlight w:val="none"/>
        </w:rPr>
        <w:t>（一）主要职能</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1、预防、制止和侦察违法犯罪活动；</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2、负责预防、发现、制止、打击危害国家安全的违法犯罪行为；负责宗教、民族事务的安全保卫工作；</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3、维护社会治安秩序，制止危害社会治安秩序的行为；</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4、维护交通安全和交通秩序，处理交通事故；</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5、组织、实施消防工作，实行消防监督；</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6、管理枪支弹药、管理刀具和易燃易爆、剧毒、放射性等危险物品；</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7、负责全县禁毒、缉毒工作，承办县禁委员会的日常工作；</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8、对法律、法规规定的特种行业进行管理；</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9、警卫国家规定范围的特定人员，负责重要的场所和设施的安全保卫工作；</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10、管理集会、游行、示威活动；</w:t>
      </w:r>
    </w:p>
    <w:p>
      <w:pPr>
        <w:pStyle w:val="7"/>
        <w:adjustRightInd w:val="0"/>
        <w:snapToGrid w:val="0"/>
        <w:spacing w:before="72" w:line="240" w:lineRule="auto"/>
        <w:ind w:firstLine="640" w:firstLineChars="200"/>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11、管理户政、出入境等有关事务；</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12、对被判处管制、拘役、剥夺政治权利的罪犯和监外执行的罪犯执行刑罚，对被宣告缓刑、假释的罪犯实行监督、考察;</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13、监督管理计算机信息系统的安全保护工作;</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rPr>
        <w:t>14、</w:t>
      </w:r>
      <w:r>
        <w:rPr>
          <w:rFonts w:hint="eastAsia" w:ascii="仿宋" w:hAnsi="仿宋" w:eastAsia="仿宋" w:cs="仿宋"/>
          <w:color w:val="auto"/>
          <w:sz w:val="32"/>
          <w:szCs w:val="32"/>
          <w:highlight w:val="none"/>
          <w:shd w:val="clear" w:color="auto" w:fill="FFFFFF"/>
        </w:rPr>
        <w:t>指导和监督国家机关、社会团体、企业事业组织和重点建设工程的治安保卫工作，指导乡镇和农村、街道治安保卫委员会等群众性组织做好治安防范工作；</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15、收集、掌握影响稳定的情报信息，维护稳定；</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16、组织实施全局公安队伍革命化、正规化、职业化建设及公安民警教育训练，做好公安信息宣传工作；</w:t>
      </w:r>
    </w:p>
    <w:p>
      <w:pPr>
        <w:pStyle w:val="14"/>
        <w:shd w:val="clear" w:color="auto" w:fill="FFFFFF"/>
        <w:spacing w:before="0" w:beforeAutospacing="0" w:after="225" w:afterAutospacing="0" w:line="240" w:lineRule="auto"/>
        <w:ind w:firstLine="640" w:firstLineChars="200"/>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17、履行法律、法规规定的其他职责；</w:t>
      </w:r>
    </w:p>
    <w:p>
      <w:pPr>
        <w:pStyle w:val="7"/>
        <w:adjustRightInd w:val="0"/>
        <w:snapToGrid w:val="0"/>
        <w:spacing w:before="93" w:line="240" w:lineRule="auto"/>
        <w:ind w:firstLine="672" w:firstLineChars="210"/>
        <w:outlineLvl w:val="2"/>
        <w:rPr>
          <w:rFonts w:ascii="仿宋" w:hAnsi="仿宋" w:eastAsia="仿宋"/>
          <w:bCs/>
          <w:color w:val="auto"/>
          <w:sz w:val="32"/>
          <w:szCs w:val="32"/>
          <w:highlight w:val="none"/>
        </w:rPr>
      </w:pPr>
      <w:r>
        <w:rPr>
          <w:rFonts w:hint="eastAsia" w:ascii="仿宋" w:hAnsi="仿宋" w:eastAsia="仿宋" w:cs="仿宋"/>
          <w:color w:val="auto"/>
          <w:sz w:val="32"/>
          <w:szCs w:val="32"/>
          <w:highlight w:val="none"/>
          <w:shd w:val="clear" w:color="auto" w:fill="FFFFFF"/>
        </w:rPr>
        <w:t>18、承办县政府交办的其他事项。</w:t>
      </w:r>
      <w:bookmarkEnd w:id="21"/>
      <w:bookmarkEnd w:id="22"/>
    </w:p>
    <w:p>
      <w:pPr>
        <w:pStyle w:val="7"/>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23" w:name="_Toc15378446"/>
      <w:bookmarkStart w:id="24" w:name="_Toc15377199"/>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23"/>
      <w:bookmarkEnd w:id="24"/>
    </w:p>
    <w:p>
      <w:pPr>
        <w:pStyle w:val="7"/>
        <w:adjustRightInd w:val="0"/>
        <w:snapToGrid w:val="0"/>
        <w:spacing w:before="93" w:line="600" w:lineRule="exact"/>
        <w:ind w:firstLine="672" w:firstLineChars="210"/>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 xml:space="preserve">2021年以来，全县公安机关在县委、县政府和局党委的坚强领导下，认真贯彻落实中央政法工作会议和各级公安工作会议精神，紧紧围绕省公安厅“1357”发展战略，紧扣庆祝建党100周年安保维稳主线，以深入开展党史学习教育和政法队伍教育整顿为牵引，以扎实开展“护旗”系列专项行动为抓手，统筹做好新冠肺炎疫情防控和防风险、保安全、护稳定、抓改革、促发展各项工作，为全县经济社会发展和“十四五”开局起步营造了更加安全稳定、更加持续的政治社会环境。  </w:t>
      </w:r>
    </w:p>
    <w:p>
      <w:pPr>
        <w:pStyle w:val="4"/>
        <w:rPr>
          <w:rStyle w:val="29"/>
          <w:b w:val="0"/>
          <w:bCs w:val="0"/>
          <w:color w:val="auto"/>
          <w:highlight w:val="none"/>
        </w:rPr>
      </w:pPr>
      <w:bookmarkStart w:id="25" w:name="_Toc15396601"/>
      <w:bookmarkStart w:id="26" w:name="_Toc15377200"/>
      <w:bookmarkStart w:id="27" w:name="_Toc15779"/>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25"/>
      <w:bookmarkEnd w:id="26"/>
      <w:bookmarkEnd w:id="27"/>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平昌县公安局</w:t>
      </w:r>
      <w:r>
        <w:rPr>
          <w:rFonts w:hint="eastAsia" w:ascii="仿宋" w:hAnsi="仿宋" w:eastAsia="仿宋"/>
          <w:color w:val="auto"/>
          <w:sz w:val="32"/>
          <w:szCs w:val="32"/>
          <w:highlight w:val="none"/>
        </w:rPr>
        <w:t>下属</w:t>
      </w: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级单位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个，参照公务员法管理的事业单位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pStyle w:val="7"/>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平昌县公安局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7"/>
        <w:numPr>
          <w:ilvl w:val="0"/>
          <w:numId w:val="1"/>
        </w:numPr>
        <w:adjustRightInd w:val="0"/>
        <w:snapToGrid w:val="0"/>
        <w:spacing w:before="93" w:line="600" w:lineRule="exact"/>
        <w:outlineLvl w:val="2"/>
        <w:rPr>
          <w:rFonts w:ascii="仿宋" w:hAnsi="仿宋" w:eastAsia="仿宋"/>
          <w:color w:val="auto"/>
          <w:sz w:val="32"/>
          <w:szCs w:val="32"/>
          <w:highlight w:val="none"/>
        </w:rPr>
      </w:pPr>
      <w:bookmarkStart w:id="28" w:name="_Toc15377202"/>
      <w:bookmarkStart w:id="29" w:name="_Toc15378449"/>
      <w:bookmarkStart w:id="30" w:name="_Toc15377433"/>
      <w:bookmarkStart w:id="31" w:name="_Toc15306276"/>
      <w:r>
        <w:rPr>
          <w:rFonts w:hint="eastAsia" w:ascii="仿宋" w:hAnsi="仿宋" w:eastAsia="仿宋"/>
          <w:color w:val="auto"/>
          <w:sz w:val="32"/>
          <w:szCs w:val="32"/>
          <w:highlight w:val="none"/>
          <w:lang w:eastAsia="zh-CN"/>
        </w:rPr>
        <w:t>平昌县公安局交通管理大队</w:t>
      </w:r>
    </w:p>
    <w:bookmarkEnd w:id="28"/>
    <w:bookmarkEnd w:id="29"/>
    <w:bookmarkEnd w:id="30"/>
    <w:bookmarkEnd w:id="31"/>
    <w:p>
      <w:pPr>
        <w:pStyle w:val="7"/>
        <w:numPr>
          <w:ilvl w:val="0"/>
          <w:numId w:val="1"/>
        </w:numPr>
        <w:adjustRightInd w:val="0"/>
        <w:snapToGrid w:val="0"/>
        <w:spacing w:before="93" w:line="600" w:lineRule="exact"/>
        <w:outlineLvl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平昌县看守所</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32" w:name="_Toc15377204"/>
      <w:bookmarkStart w:id="33" w:name="_Toc15396602"/>
      <w:bookmarkStart w:id="34" w:name="_Toc1326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rPr>
        <w:t>部门决算情况说明</w:t>
      </w:r>
      <w:bookmarkEnd w:id="32"/>
      <w:bookmarkEnd w:id="33"/>
      <w:bookmarkEnd w:id="34"/>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35" w:name="_Toc27659"/>
      <w:bookmarkStart w:id="36" w:name="_Toc15396603"/>
      <w:bookmarkStart w:id="37"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35"/>
      <w:bookmarkEnd w:id="36"/>
      <w:bookmarkEnd w:id="37"/>
    </w:p>
    <w:p>
      <w:pPr>
        <w:spacing w:line="600" w:lineRule="exact"/>
        <w:ind w:firstLine="640" w:firstLineChars="200"/>
        <w:rPr>
          <w:rFonts w:hint="eastAsia" w:eastAsia="仿宋" w:cs="Times New Roman"/>
          <w:color w:val="000000"/>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lang w:val="en-US" w:eastAsia="zh-CN"/>
        </w:rPr>
        <w:t>15159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1843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default" w:ascii="Times New Roman" w:hAnsi="Times New Roman" w:eastAsia="仿宋" w:cs="Times New Roman"/>
          <w:color w:val="000000"/>
          <w:sz w:val="32"/>
          <w:szCs w:val="32"/>
          <w:highlight w:val="none"/>
        </w:rPr>
        <w:t>主要变动原因</w:t>
      </w:r>
      <w:r>
        <w:rPr>
          <w:rFonts w:hint="default" w:ascii="Times New Roman" w:hAnsi="Times New Roman" w:eastAsia="仿宋" w:cs="Times New Roman"/>
          <w:color w:val="000000"/>
          <w:sz w:val="32"/>
          <w:szCs w:val="32"/>
          <w:highlight w:val="none"/>
          <w:lang w:eastAsia="zh-CN"/>
        </w:rPr>
        <w:t>：</w:t>
      </w:r>
      <w:r>
        <w:rPr>
          <w:rFonts w:hint="eastAsia" w:eastAsia="仿宋" w:cs="Times New Roman"/>
          <w:color w:val="000000"/>
          <w:sz w:val="32"/>
          <w:szCs w:val="32"/>
          <w:highlight w:val="none"/>
          <w:lang w:eastAsia="zh-CN"/>
        </w:rPr>
        <w:t>民警工资福利支出增加，警务辅助人员增加、经费增加，基础设施建设支出增加。</w:t>
      </w:r>
      <w:r>
        <w:rPr>
          <w:rFonts w:hint="eastAsia" w:eastAsia="仿宋" w:cs="Times New Roman"/>
          <w:color w:val="000000"/>
          <w:sz w:val="32"/>
          <w:szCs w:val="32"/>
          <w:highlight w:val="none"/>
          <w:lang w:val="en-US" w:eastAsia="zh-CN"/>
        </w:rPr>
        <w:t xml:space="preserve"> </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
      </w:pPr>
    </w:p>
    <w:p>
      <w:pPr>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4661535" cy="2831465"/>
            <wp:effectExtent l="4445" t="4445" r="7620" b="88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38" w:name="_Toc15377206"/>
      <w:bookmarkStart w:id="39" w:name="_Toc15396604"/>
      <w:bookmarkStart w:id="40" w:name="_Toc15207"/>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38"/>
      <w:bookmarkEnd w:id="39"/>
      <w:bookmarkEnd w:id="40"/>
    </w:p>
    <w:p>
      <w:pPr>
        <w:spacing w:line="600" w:lineRule="exact"/>
        <w:ind w:firstLine="640" w:firstLineChars="200"/>
        <w:outlineLvl w:val="1"/>
        <w:rPr>
          <w:rFonts w:ascii="仿宋" w:hAnsi="仿宋" w:eastAsia="仿宋"/>
          <w:color w:val="auto"/>
          <w:sz w:val="32"/>
          <w:szCs w:val="32"/>
          <w:highlight w:val="none"/>
        </w:rPr>
      </w:pPr>
      <w:bookmarkStart w:id="41" w:name="_Toc2963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15159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13429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1730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1"/>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7"/>
        <w:rPr>
          <w:rFonts w:ascii="仿宋_GB2312" w:eastAsia="仿宋_GB2312"/>
          <w:color w:val="auto"/>
          <w:sz w:val="32"/>
          <w:szCs w:val="32"/>
          <w:highlight w:val="none"/>
        </w:rPr>
      </w:pPr>
    </w:p>
    <w:p>
      <w:pPr>
        <w:pStyle w:val="7"/>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4645660" cy="2475865"/>
            <wp:effectExtent l="4445" t="4445" r="10795" b="88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42" w:name="_Toc15396605"/>
      <w:bookmarkStart w:id="43" w:name="_Toc15377207"/>
      <w:bookmarkStart w:id="44" w:name="_Toc10068"/>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42"/>
      <w:bookmarkEnd w:id="43"/>
      <w:bookmarkEnd w:id="44"/>
    </w:p>
    <w:p>
      <w:pPr>
        <w:spacing w:line="600" w:lineRule="exact"/>
        <w:ind w:firstLine="640" w:firstLineChars="200"/>
        <w:outlineLvl w:val="1"/>
        <w:rPr>
          <w:rFonts w:ascii="仿宋" w:hAnsi="仿宋" w:eastAsia="仿宋"/>
          <w:b/>
          <w:color w:val="FF0000"/>
          <w:sz w:val="32"/>
          <w:szCs w:val="32"/>
          <w:highlight w:val="none"/>
        </w:rPr>
      </w:pPr>
      <w:bookmarkStart w:id="45" w:name="_Toc1615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15159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10800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4359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5"/>
    </w:p>
    <w:p>
      <w:pPr>
        <w:spacing w:line="600" w:lineRule="exact"/>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pStyle w:val="7"/>
        <w:rPr>
          <w:rFonts w:hint="eastAsia" w:ascii="黑体" w:hAnsi="黑体" w:eastAsia="黑体"/>
          <w:color w:val="auto"/>
          <w:sz w:val="32"/>
          <w:szCs w:val="32"/>
          <w:highlight w:val="none"/>
        </w:rPr>
      </w:pPr>
      <w:r>
        <w:rPr>
          <w:rFonts w:hint="eastAsia" w:ascii="仿宋_GB2312" w:eastAsia="仿宋_GB2312"/>
          <w:color w:val="auto"/>
          <w:sz w:val="32"/>
          <w:szCs w:val="32"/>
          <w:highlight w:val="none"/>
          <w:lang w:eastAsia="zh-CN"/>
        </w:rPr>
        <w:drawing>
          <wp:inline distT="0" distB="0" distL="114300" distR="114300">
            <wp:extent cx="4508500" cy="2586355"/>
            <wp:effectExtent l="4445" t="4445" r="8255" b="12700"/>
            <wp:docPr id="1" name="图表 1"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46" w:name="_Toc15377208"/>
      <w:bookmarkStart w:id="47" w:name="_Toc21760"/>
      <w:bookmarkStart w:id="48" w:name="_Toc15396606"/>
    </w:p>
    <w:p>
      <w:pPr>
        <w:spacing w:line="600" w:lineRule="exact"/>
        <w:ind w:firstLine="640" w:firstLineChars="200"/>
        <w:outlineLvl w:val="1"/>
        <w:rPr>
          <w:rStyle w:val="29"/>
          <w:rFonts w:ascii="黑体" w:hAnsi="黑体" w:eastAsia="黑体"/>
          <w:b w:val="0"/>
          <w:color w:val="auto"/>
          <w:highlight w:val="none"/>
        </w:rPr>
      </w:pPr>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46"/>
      <w:bookmarkEnd w:id="47"/>
      <w:bookmarkEnd w:id="48"/>
    </w:p>
    <w:p>
      <w:pPr>
        <w:spacing w:line="600" w:lineRule="exact"/>
        <w:ind w:firstLine="640"/>
        <w:rPr>
          <w:rFonts w:hint="eastAsia" w:eastAsia="仿宋" w:cs="Times New Roman"/>
          <w:color w:val="000000"/>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eastAsia="zh-CN"/>
        </w:rPr>
        <w:t>各</w:t>
      </w:r>
      <w:r>
        <w:rPr>
          <w:rFonts w:hint="eastAsia" w:ascii="仿宋" w:hAnsi="仿宋" w:eastAsia="仿宋"/>
          <w:color w:val="auto"/>
          <w:sz w:val="32"/>
          <w:szCs w:val="32"/>
          <w:highlight w:val="none"/>
          <w:lang w:val="en-US" w:eastAsia="zh-CN"/>
        </w:rPr>
        <w:t>15159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1843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default" w:ascii="Times New Roman" w:hAnsi="Times New Roman" w:eastAsia="仿宋" w:cs="Times New Roman"/>
          <w:color w:val="000000"/>
          <w:sz w:val="32"/>
          <w:szCs w:val="32"/>
          <w:highlight w:val="none"/>
        </w:rPr>
        <w:t>主要变动原因</w:t>
      </w:r>
      <w:r>
        <w:rPr>
          <w:rFonts w:hint="default" w:ascii="Times New Roman" w:hAnsi="Times New Roman" w:eastAsia="仿宋" w:cs="Times New Roman"/>
          <w:color w:val="000000"/>
          <w:sz w:val="32"/>
          <w:szCs w:val="32"/>
          <w:highlight w:val="none"/>
          <w:lang w:eastAsia="zh-CN"/>
        </w:rPr>
        <w:t>：</w:t>
      </w:r>
      <w:r>
        <w:rPr>
          <w:rFonts w:hint="eastAsia" w:eastAsia="仿宋" w:cs="Times New Roman"/>
          <w:color w:val="000000"/>
          <w:sz w:val="32"/>
          <w:szCs w:val="32"/>
          <w:highlight w:val="none"/>
          <w:lang w:eastAsia="zh-CN"/>
        </w:rPr>
        <w:t>民警工资福利支出增加，警务辅助人员增加、经费增加，基础设施建设支出增加。</w:t>
      </w:r>
    </w:p>
    <w:p>
      <w:pPr>
        <w:spacing w:line="600" w:lineRule="exact"/>
        <w:ind w:firstLine="640" w:firstLineChars="200"/>
      </w:pPr>
      <w:commentRangeStart w:id="0"/>
      <w:r>
        <w:rPr>
          <w:rFonts w:hint="eastAsia" w:ascii="仿宋" w:hAnsi="仿宋" w:eastAsia="仿宋"/>
          <w:color w:val="auto"/>
          <w:sz w:val="32"/>
          <w:szCs w:val="32"/>
          <w:highlight w:val="none"/>
        </w:rPr>
        <w:t>（图4：财政拨款收、支决算总计变动情况）</w:t>
      </w:r>
      <w:commentRangeEnd w:id="0"/>
      <w:r>
        <w:commentReference w:id="0"/>
      </w:r>
    </w:p>
    <w:p>
      <w:pPr>
        <w:pStyle w:val="7"/>
        <w:rPr>
          <w:rFonts w:hint="eastAsia" w:eastAsia="仿宋_GB2312"/>
          <w:lang w:eastAsia="zh-CN"/>
        </w:rPr>
      </w:pPr>
      <w:r>
        <w:rPr>
          <w:rFonts w:hint="eastAsia" w:eastAsia="仿宋_GB2312"/>
          <w:lang w:eastAsia="zh-CN"/>
        </w:rPr>
        <w:drawing>
          <wp:inline distT="0" distB="0" distL="114300" distR="114300">
            <wp:extent cx="4608830" cy="2367280"/>
            <wp:effectExtent l="4445" t="5080" r="9525" b="152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9"/>
          <w:rFonts w:ascii="黑体" w:hAnsi="黑体" w:eastAsia="黑体"/>
          <w:b w:val="0"/>
          <w:color w:val="auto"/>
          <w:highlight w:val="none"/>
        </w:rPr>
      </w:pPr>
      <w:bookmarkStart w:id="49" w:name="_Toc15396607"/>
      <w:bookmarkStart w:id="50" w:name="_Toc13846"/>
      <w:bookmarkStart w:id="5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49"/>
      <w:bookmarkEnd w:id="50"/>
      <w:bookmarkEnd w:id="51"/>
    </w:p>
    <w:p>
      <w:pPr>
        <w:spacing w:line="600" w:lineRule="exact"/>
        <w:ind w:firstLine="643" w:firstLineChars="200"/>
        <w:outlineLvl w:val="2"/>
        <w:rPr>
          <w:rFonts w:ascii="仿宋" w:hAnsi="仿宋" w:eastAsia="仿宋"/>
          <w:b/>
          <w:color w:val="auto"/>
          <w:sz w:val="32"/>
          <w:szCs w:val="32"/>
          <w:highlight w:val="none"/>
        </w:rPr>
      </w:pPr>
      <w:bookmarkStart w:id="52" w:name="_Toc15377210"/>
      <w:r>
        <w:rPr>
          <w:rFonts w:hint="eastAsia" w:ascii="仿宋" w:hAnsi="仿宋" w:eastAsia="仿宋"/>
          <w:b/>
          <w:color w:val="auto"/>
          <w:sz w:val="32"/>
          <w:szCs w:val="32"/>
          <w:highlight w:val="none"/>
        </w:rPr>
        <w:t>（一）一般公共预算财政拨款支出决算总体情况</w:t>
      </w:r>
      <w:bookmarkEnd w:id="52"/>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13429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88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458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w:t>
      </w:r>
      <w:r>
        <w:rPr>
          <w:rFonts w:hint="eastAsia" w:eastAsia="仿宋" w:cs="Times New Roman"/>
          <w:color w:val="000000"/>
          <w:sz w:val="32"/>
          <w:szCs w:val="32"/>
          <w:highlight w:val="none"/>
          <w:lang w:eastAsia="zh-CN"/>
        </w:rPr>
        <w:t>民警工资福利支出增加，警务辅助人员增加、经费增加。</w:t>
      </w:r>
    </w:p>
    <w:p>
      <w:pPr>
        <w:spacing w:line="600" w:lineRule="exact"/>
        <w:ind w:firstLine="640" w:firstLineChars="200"/>
      </w:pPr>
      <w:r>
        <w:rPr>
          <w:rFonts w:hint="eastAsia" w:ascii="仿宋" w:hAnsi="仿宋" w:eastAsia="仿宋"/>
          <w:color w:val="auto"/>
          <w:sz w:val="32"/>
          <w:szCs w:val="32"/>
          <w:highlight w:val="none"/>
        </w:rPr>
        <w:t>（图5：一般公共预算财政拨款支出决算变动情况）（柱状图）</w:t>
      </w:r>
    </w:p>
    <w:p>
      <w:pPr>
        <w:pStyle w:val="7"/>
        <w:rPr>
          <w:rFonts w:ascii="仿宋" w:hAnsi="仿宋" w:eastAsia="仿宋"/>
          <w:color w:val="auto"/>
          <w:sz w:val="32"/>
          <w:szCs w:val="32"/>
          <w:highlight w:val="none"/>
        </w:rPr>
      </w:pPr>
      <w:r>
        <w:rPr>
          <w:rFonts w:hint="eastAsia" w:eastAsia="仿宋_GB2312"/>
          <w:lang w:eastAsia="zh-CN"/>
        </w:rPr>
        <w:drawing>
          <wp:inline distT="0" distB="0" distL="114300" distR="114300">
            <wp:extent cx="5080635" cy="2486660"/>
            <wp:effectExtent l="4445" t="4445" r="7620"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53" w:name="_Toc15377211"/>
      <w:r>
        <w:rPr>
          <w:rFonts w:hint="eastAsia" w:ascii="仿宋" w:hAnsi="仿宋" w:eastAsia="仿宋"/>
          <w:b/>
          <w:color w:val="auto"/>
          <w:sz w:val="32"/>
          <w:szCs w:val="32"/>
          <w:highlight w:val="none"/>
        </w:rPr>
        <w:t>（二）一般公共预算财政拨款支出决算结构情况</w:t>
      </w:r>
      <w:bookmarkEnd w:id="5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13429</w:t>
      </w:r>
      <w:r>
        <w:rPr>
          <w:rFonts w:hint="eastAsia" w:ascii="仿宋" w:hAnsi="仿宋" w:eastAsia="仿宋"/>
          <w:color w:val="auto"/>
          <w:sz w:val="32"/>
          <w:szCs w:val="32"/>
          <w:highlight w:val="none"/>
        </w:rPr>
        <w:t>万元，</w:t>
      </w:r>
      <w:commentRangeStart w:id="1"/>
      <w:r>
        <w:rPr>
          <w:rFonts w:hint="eastAsia" w:ascii="仿宋" w:hAnsi="仿宋" w:eastAsia="仿宋"/>
          <w:color w:val="auto"/>
          <w:sz w:val="32"/>
          <w:szCs w:val="32"/>
          <w:highlight w:val="none"/>
        </w:rPr>
        <w:t>主要用于以下方面</w:t>
      </w:r>
      <w:r>
        <w:rPr>
          <w:rFonts w:ascii="仿宋" w:hAnsi="仿宋" w:eastAsia="仿宋"/>
          <w:color w:val="auto"/>
          <w:sz w:val="32"/>
          <w:szCs w:val="32"/>
          <w:highlight w:val="none"/>
        </w:rPr>
        <w:t>:</w:t>
      </w:r>
      <w:commentRangeEnd w:id="1"/>
      <w:r>
        <w:commentReference w:id="1"/>
      </w:r>
      <w:r>
        <w:rPr>
          <w:rFonts w:hint="eastAsia" w:ascii="仿宋" w:hAnsi="仿宋" w:eastAsia="仿宋"/>
          <w:b/>
          <w:color w:val="auto"/>
          <w:sz w:val="32"/>
          <w:szCs w:val="32"/>
          <w:highlight w:val="none"/>
          <w:lang w:eastAsia="zh-CN"/>
        </w:rPr>
        <w:t>公共安全支出</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12160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502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381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农林水支出</w:t>
      </w:r>
      <w:r>
        <w:rPr>
          <w:rFonts w:hint="eastAsia" w:ascii="仿宋" w:hAnsi="仿宋" w:eastAsia="仿宋"/>
          <w:color w:val="auto"/>
          <w:sz w:val="32"/>
          <w:szCs w:val="32"/>
          <w:highlight w:val="none"/>
          <w:lang w:val="en-US" w:eastAsia="zh-CN"/>
        </w:rPr>
        <w:t>11万元，占0.1%；</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Style w:val="7"/>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964430" cy="3037840"/>
            <wp:effectExtent l="4445" t="4445" r="9525" b="43815"/>
            <wp:docPr id="2" name="图表 2"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54" w:name="_Toc15377212"/>
      <w:r>
        <w:rPr>
          <w:rFonts w:hint="eastAsia" w:ascii="仿宋" w:hAnsi="仿宋" w:eastAsia="仿宋"/>
          <w:b/>
          <w:color w:val="auto"/>
          <w:sz w:val="32"/>
          <w:szCs w:val="32"/>
          <w:highlight w:val="none"/>
        </w:rPr>
        <w:t>（三）一般公共预算财政拨款支出决算具体情况</w:t>
      </w:r>
      <w:bookmarkEnd w:id="54"/>
    </w:p>
    <w:p>
      <w:pPr>
        <w:spacing w:line="600" w:lineRule="exact"/>
        <w:ind w:firstLine="643" w:firstLineChars="200"/>
        <w:outlineLvl w:val="1"/>
        <w:rPr>
          <w:rFonts w:ascii="仿宋" w:hAnsi="仿宋" w:eastAsia="仿宋"/>
          <w:color w:val="auto"/>
          <w:sz w:val="32"/>
          <w:szCs w:val="32"/>
          <w:highlight w:val="none"/>
        </w:rPr>
      </w:pPr>
      <w:bookmarkStart w:id="55" w:name="_Toc15377213"/>
      <w:bookmarkStart w:id="56" w:name="_Toc15590"/>
      <w:bookmarkStart w:id="57" w:name="_Toc15378460"/>
      <w:bookmarkStart w:id="58"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13429</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88</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w:t>
      </w:r>
      <w:commentRangeStart w:id="2"/>
      <w:r>
        <w:rPr>
          <w:rStyle w:val="18"/>
          <w:rFonts w:hint="eastAsia" w:ascii="仿宋" w:hAnsi="仿宋" w:eastAsia="仿宋"/>
          <w:bCs/>
          <w:color w:val="auto"/>
          <w:sz w:val="32"/>
          <w:szCs w:val="32"/>
          <w:highlight w:val="none"/>
        </w:rPr>
        <w:t>其中：</w:t>
      </w:r>
      <w:commentRangeEnd w:id="2"/>
      <w:r>
        <w:commentReference w:id="2"/>
      </w:r>
      <w:bookmarkEnd w:id="55"/>
      <w:bookmarkEnd w:id="56"/>
      <w:bookmarkEnd w:id="57"/>
      <w:bookmarkEnd w:id="58"/>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1.</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8969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8"/>
          <w:rFonts w:ascii="仿宋" w:hAnsi="仿宋" w:eastAsia="仿宋"/>
          <w:bCs/>
          <w:color w:val="auto"/>
          <w:sz w:val="32"/>
          <w:szCs w:val="32"/>
          <w:highlight w:val="none"/>
        </w:rPr>
        <w:t>2.</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信息化建设</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230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hint="eastAsia" w:ascii="仿宋" w:hAnsi="仿宋" w:eastAsia="仿宋"/>
          <w:b/>
          <w:color w:val="auto"/>
          <w:sz w:val="32"/>
          <w:szCs w:val="32"/>
          <w:highlight w:val="none"/>
          <w:lang w:eastAsia="zh-CN"/>
        </w:rPr>
      </w:pPr>
      <w:r>
        <w:rPr>
          <w:rStyle w:val="18"/>
          <w:rFonts w:ascii="仿宋" w:hAnsi="仿宋" w:eastAsia="仿宋"/>
          <w:bCs/>
          <w:color w:val="auto"/>
          <w:sz w:val="32"/>
          <w:szCs w:val="32"/>
          <w:highlight w:val="none"/>
        </w:rPr>
        <w:t>3.</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执法办案</w:t>
      </w:r>
      <w:r>
        <w:rPr>
          <w:rStyle w:val="18"/>
          <w:rFonts w:hint="eastAsia" w:ascii="仿宋" w:hAnsi="仿宋" w:eastAsia="仿宋" w:cstheme="minorBidi"/>
          <w:bCs/>
          <w:color w:val="auto"/>
          <w:sz w:val="32"/>
          <w:szCs w:val="32"/>
          <w:highlight w:val="none"/>
        </w:rPr>
        <w:t>（项）</w:t>
      </w:r>
      <w:r>
        <w:rPr>
          <w:rStyle w:val="18"/>
          <w:rFonts w:ascii="仿宋" w:hAnsi="仿宋" w:eastAsia="仿宋" w:cstheme="minorBidi"/>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ascii="仿宋" w:hAnsi="仿宋" w:eastAsia="仿宋"/>
          <w:bCs/>
          <w:color w:val="auto"/>
          <w:sz w:val="32"/>
          <w:szCs w:val="32"/>
          <w:highlight w:val="none"/>
        </w:rPr>
        <w:t>4.</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事业运行</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53</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公安</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其他公安支出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609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6</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司法</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其他司法支出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294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7</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强制隔离戒毒</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其他强制隔离戒毒支出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8</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公共安全支出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其他公共安全支出</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其他公共安全支出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1892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9</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w:t>
      </w:r>
      <w:r>
        <w:rPr>
          <w:rStyle w:val="18"/>
          <w:rFonts w:hint="eastAsia" w:ascii="仿宋" w:hAnsi="仿宋" w:eastAsia="仿宋"/>
          <w:bCs/>
          <w:color w:val="auto"/>
          <w:sz w:val="32"/>
          <w:szCs w:val="32"/>
          <w:highlight w:val="none"/>
          <w:lang w:eastAsia="zh-CN"/>
        </w:rPr>
        <w:t>行政事业单位养老支出</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机关事业单位基本养老保险缴费支出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500</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10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社会保障和就业（类）</w:t>
      </w:r>
      <w:r>
        <w:rPr>
          <w:rStyle w:val="18"/>
          <w:rFonts w:hint="eastAsia" w:ascii="仿宋" w:hAnsi="仿宋" w:eastAsia="仿宋"/>
          <w:bCs/>
          <w:color w:val="auto"/>
          <w:sz w:val="32"/>
          <w:szCs w:val="32"/>
          <w:highlight w:val="none"/>
          <w:lang w:eastAsia="zh-CN"/>
        </w:rPr>
        <w:t>其他</w:t>
      </w:r>
      <w:r>
        <w:rPr>
          <w:rStyle w:val="18"/>
          <w:rFonts w:hint="eastAsia" w:ascii="仿宋" w:hAnsi="仿宋" w:eastAsia="仿宋"/>
          <w:bCs/>
          <w:color w:val="auto"/>
          <w:sz w:val="32"/>
          <w:szCs w:val="32"/>
          <w:highlight w:val="none"/>
        </w:rPr>
        <w:t>社会保障和就业</w:t>
      </w:r>
      <w:r>
        <w:rPr>
          <w:rStyle w:val="18"/>
          <w:rFonts w:hint="eastAsia" w:ascii="仿宋" w:hAnsi="仿宋" w:eastAsia="仿宋"/>
          <w:bCs/>
          <w:color w:val="auto"/>
          <w:sz w:val="32"/>
          <w:szCs w:val="32"/>
          <w:highlight w:val="none"/>
          <w:lang w:eastAsia="zh-CN"/>
        </w:rPr>
        <w:t>支出</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bCs/>
          <w:color w:val="auto"/>
          <w:sz w:val="32"/>
          <w:szCs w:val="32"/>
          <w:highlight w:val="none"/>
          <w:lang w:eastAsia="zh-CN"/>
        </w:rPr>
        <w:t>其他</w:t>
      </w:r>
      <w:r>
        <w:rPr>
          <w:rStyle w:val="18"/>
          <w:rFonts w:hint="eastAsia" w:ascii="仿宋" w:hAnsi="仿宋" w:eastAsia="仿宋"/>
          <w:bCs/>
          <w:color w:val="auto"/>
          <w:sz w:val="32"/>
          <w:szCs w:val="32"/>
          <w:highlight w:val="none"/>
        </w:rPr>
        <w:t>社会保障和就业</w:t>
      </w:r>
      <w:r>
        <w:rPr>
          <w:rStyle w:val="18"/>
          <w:rFonts w:hint="eastAsia" w:ascii="仿宋" w:hAnsi="仿宋" w:eastAsia="仿宋"/>
          <w:bCs/>
          <w:color w:val="auto"/>
          <w:sz w:val="32"/>
          <w:szCs w:val="32"/>
          <w:highlight w:val="none"/>
          <w:lang w:eastAsia="zh-CN"/>
        </w:rPr>
        <w:t>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hint="eastAsia"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11</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行政单位医疗</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298</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3" w:firstLineChars="200"/>
        <w:rPr>
          <w:rFonts w:hint="eastAsia"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12</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事业单位医疗</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9</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3" w:firstLineChars="200"/>
        <w:rPr>
          <w:rFonts w:hint="eastAsia"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13</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公务员医疗补助</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74</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3" w:firstLineChars="200"/>
        <w:rPr>
          <w:rFonts w:hint="eastAsia"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14</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lang w:eastAsia="zh-CN"/>
        </w:rPr>
        <w:t>农林水支出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扶贫</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其他扶贫支出</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11</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pStyle w:val="7"/>
        <w:ind w:firstLine="643" w:firstLineChars="200"/>
        <w:rPr>
          <w:rFonts w:hint="eastAsia"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15</w:t>
      </w:r>
      <w:r>
        <w:rPr>
          <w:rStyle w:val="18"/>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住房保障支出</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住房改革支出</w:t>
      </w:r>
      <w:r>
        <w:rPr>
          <w:rStyle w:val="18"/>
          <w:rFonts w:hint="eastAsia" w:ascii="仿宋" w:hAnsi="仿宋" w:eastAsia="仿宋" w:cstheme="minorBidi"/>
          <w:bCs/>
          <w:color w:val="auto"/>
          <w:sz w:val="32"/>
          <w:szCs w:val="32"/>
          <w:highlight w:val="none"/>
        </w:rPr>
        <w:t>（款）</w:t>
      </w:r>
      <w:r>
        <w:rPr>
          <w:rStyle w:val="18"/>
          <w:rFonts w:hint="eastAsia" w:ascii="仿宋" w:hAnsi="仿宋" w:eastAsia="仿宋" w:cstheme="minorBidi"/>
          <w:bCs/>
          <w:color w:val="auto"/>
          <w:sz w:val="32"/>
          <w:szCs w:val="32"/>
          <w:highlight w:val="none"/>
          <w:lang w:eastAsia="zh-CN"/>
        </w:rPr>
        <w:t>住房公积金</w:t>
      </w:r>
      <w:r>
        <w:rPr>
          <w:rStyle w:val="18"/>
          <w:rFonts w:hint="eastAsia" w:ascii="仿宋" w:hAnsi="仿宋" w:eastAsia="仿宋" w:cstheme="minorBidi"/>
          <w:bCs/>
          <w:color w:val="auto"/>
          <w:sz w:val="32"/>
          <w:szCs w:val="32"/>
          <w:highlight w:val="none"/>
        </w:rPr>
        <w:t>（项）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375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9"/>
          <w:color w:val="auto"/>
          <w:highlight w:val="none"/>
        </w:rPr>
      </w:pPr>
      <w:bookmarkStart w:id="59" w:name="_Toc5869"/>
      <w:bookmarkStart w:id="60" w:name="_Toc15377214"/>
      <w:bookmarkStart w:id="6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59"/>
      <w:bookmarkEnd w:id="60"/>
      <w:bookmarkEnd w:id="61"/>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13429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9265</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w:t>
      </w:r>
      <w:r>
        <w:rPr>
          <w:rFonts w:hint="eastAsia" w:ascii="仿宋" w:hAnsi="仿宋" w:eastAsia="仿宋"/>
          <w:color w:val="auto"/>
          <w:sz w:val="32"/>
          <w:szCs w:val="32"/>
          <w:highlight w:val="none"/>
          <w:lang w:val="en-US" w:eastAsia="zh-CN"/>
        </w:rPr>
        <w:t>1535</w:t>
      </w:r>
      <w:r>
        <w:rPr>
          <w:rFonts w:hint="eastAsia" w:ascii="仿宋" w:hAnsi="仿宋" w:eastAsia="仿宋"/>
          <w:color w:val="auto"/>
          <w:sz w:val="32"/>
          <w:szCs w:val="32"/>
          <w:highlight w:val="none"/>
        </w:rPr>
        <w:t>万元，主要包括：办公费、印刷费、水费、电费、邮电费、物业管理费、差旅费、维修（护）费、租赁费、会议费、培训费、公务接待费、劳务费、委托业务费、工会经费、公务用车运行维护费、其他交通费、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val="0"/>
          <w:bCs/>
          <w:color w:val="auto"/>
          <w:sz w:val="32"/>
          <w:szCs w:val="32"/>
          <w:highlight w:val="none"/>
          <w:lang w:eastAsia="zh-CN"/>
        </w:rPr>
        <w:t>项目支出</w:t>
      </w:r>
      <w:r>
        <w:rPr>
          <w:rFonts w:hint="eastAsia" w:ascii="仿宋" w:hAnsi="仿宋" w:eastAsia="仿宋"/>
          <w:b w:val="0"/>
          <w:bCs/>
          <w:color w:val="auto"/>
          <w:sz w:val="32"/>
          <w:szCs w:val="32"/>
          <w:highlight w:val="none"/>
          <w:lang w:val="en-US" w:eastAsia="zh-CN"/>
        </w:rPr>
        <w:t>2629万元，主要包括：信息化建设、执法办案、其他公安支出、其他司法支出、其他强制隔离戒毒支出、其他公共安全支出、扶贫支出。</w:t>
      </w:r>
    </w:p>
    <w:p>
      <w:pPr>
        <w:spacing w:line="600" w:lineRule="exact"/>
        <w:ind w:firstLine="640"/>
        <w:outlineLvl w:val="1"/>
        <w:rPr>
          <w:rStyle w:val="29"/>
          <w:rFonts w:ascii="黑体" w:hAnsi="黑体" w:eastAsia="黑体"/>
          <w:b w:val="0"/>
          <w:color w:val="auto"/>
          <w:highlight w:val="none"/>
        </w:rPr>
      </w:pPr>
      <w:bookmarkStart w:id="62" w:name="_Toc15377215"/>
      <w:bookmarkStart w:id="63" w:name="_Toc15396609"/>
      <w:bookmarkStart w:id="64" w:name="_Toc14181"/>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62"/>
      <w:bookmarkEnd w:id="63"/>
      <w:bookmarkEnd w:id="64"/>
    </w:p>
    <w:p>
      <w:pPr>
        <w:spacing w:line="600" w:lineRule="exact"/>
        <w:ind w:firstLine="640"/>
        <w:outlineLvl w:val="2"/>
        <w:rPr>
          <w:rFonts w:ascii="仿宋" w:hAnsi="仿宋" w:eastAsia="仿宋"/>
          <w:b/>
          <w:color w:val="auto"/>
          <w:sz w:val="32"/>
          <w:szCs w:val="32"/>
          <w:highlight w:val="none"/>
        </w:rPr>
      </w:pPr>
      <w:bookmarkStart w:id="65" w:name="_Toc15377216"/>
      <w:r>
        <w:rPr>
          <w:rFonts w:hint="eastAsia" w:ascii="仿宋" w:hAnsi="仿宋" w:eastAsia="仿宋"/>
          <w:b/>
          <w:color w:val="auto"/>
          <w:sz w:val="32"/>
          <w:szCs w:val="32"/>
          <w:highlight w:val="none"/>
        </w:rPr>
        <w:t>（一）“三公”经费财政拨款支出决算总体情况说明</w:t>
      </w:r>
      <w:bookmarkEnd w:id="6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59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91</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_GB2312" w:eastAsia="仿宋_GB2312"/>
          <w:color w:val="auto"/>
          <w:sz w:val="32"/>
          <w:szCs w:val="32"/>
          <w:highlight w:val="none"/>
          <w:lang w:val="en-US" w:eastAsia="zh-CN"/>
        </w:rPr>
        <w:t>认真贯彻中央</w:t>
      </w:r>
      <w:bookmarkStart w:id="120" w:name="_GoBack"/>
      <w:bookmarkEnd w:id="120"/>
      <w:r>
        <w:rPr>
          <w:rFonts w:hint="eastAsia" w:ascii="仿宋_GB2312" w:eastAsia="仿宋_GB2312"/>
          <w:color w:val="auto"/>
          <w:sz w:val="32"/>
          <w:szCs w:val="32"/>
          <w:highlight w:val="none"/>
          <w:lang w:val="en-US" w:eastAsia="zh-CN"/>
        </w:rPr>
        <w:t>八项规定，严格控制支出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6" w:name="_Toc15377217"/>
      <w:r>
        <w:rPr>
          <w:rFonts w:hint="eastAsia" w:ascii="仿宋" w:hAnsi="仿宋" w:eastAsia="仿宋"/>
          <w:b/>
          <w:color w:val="auto"/>
          <w:sz w:val="32"/>
          <w:szCs w:val="32"/>
          <w:highlight w:val="none"/>
        </w:rPr>
        <w:t>（二）“三公”经费财政拨款支出决算具体情况说明</w:t>
      </w:r>
      <w:bookmarkEnd w:id="6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58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b/>
          <w:color w:val="auto"/>
          <w:sz w:val="32"/>
          <w:szCs w:val="32"/>
          <w:highlight w:val="none"/>
        </w:rPr>
      </w:pPr>
      <w:commentRangeStart w:id="3"/>
      <w:r>
        <w:rPr>
          <w:rFonts w:hint="eastAsia" w:ascii="仿宋" w:hAnsi="仿宋" w:eastAsia="仿宋"/>
          <w:color w:val="auto"/>
          <w:sz w:val="32"/>
          <w:szCs w:val="32"/>
          <w:highlight w:val="none"/>
        </w:rPr>
        <w:t>（图7：“三公”经费财政拨款支出结构）（饼状图）</w:t>
      </w:r>
      <w:commentRangeEnd w:id="3"/>
      <w:r>
        <w:commentReference w:id="3"/>
      </w:r>
    </w:p>
    <w:p>
      <w:pPr>
        <w:pStyle w:val="7"/>
        <w:rPr>
          <w:rFonts w:ascii="仿宋_GB2312" w:eastAsia="仿宋_GB2312"/>
          <w:b/>
          <w:color w:val="auto"/>
          <w:sz w:val="32"/>
          <w:szCs w:val="32"/>
          <w:highlight w:val="none"/>
        </w:rPr>
      </w:pPr>
      <w:r>
        <w:rPr>
          <w:rFonts w:hint="eastAsia" w:ascii="仿宋_GB2312" w:eastAsia="仿宋_GB2312"/>
          <w:b/>
          <w:color w:val="auto"/>
          <w:sz w:val="32"/>
          <w:szCs w:val="32"/>
          <w:highlight w:val="none"/>
          <w:lang w:eastAsia="zh-CN"/>
        </w:rPr>
        <w:drawing>
          <wp:inline distT="0" distB="0" distL="114300" distR="114300">
            <wp:extent cx="4634865" cy="3011170"/>
            <wp:effectExtent l="4445" t="4445" r="8890" b="698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0"/>
        </w:numPr>
        <w:spacing w:line="600" w:lineRule="exact"/>
        <w:ind w:firstLine="643" w:firstLineChars="200"/>
      </w:pPr>
      <w:r>
        <w:rPr>
          <w:rFonts w:hint="eastAsia" w:ascii="仿宋_GB2312" w:eastAsia="仿宋_GB2312"/>
          <w:b/>
          <w:color w:val="auto"/>
          <w:sz w:val="32"/>
          <w:szCs w:val="32"/>
          <w:highlight w:val="none"/>
          <w:lang w:val="en-US" w:eastAsia="zh-CN"/>
        </w:rPr>
        <w:t>1</w:t>
      </w:r>
      <w:r>
        <w:rPr>
          <w:rFonts w:ascii="仿宋_GB2312" w:eastAsia="仿宋_GB2312"/>
          <w:b/>
          <w:color w:val="auto"/>
          <w:sz w:val="32"/>
          <w:szCs w:val="32"/>
          <w:highlight w:val="none"/>
        </w:rPr>
        <w:t>.</w:t>
      </w:r>
      <w:commentRangeStart w:id="4"/>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w:t>
      </w:r>
      <w:commentRangeEnd w:id="4"/>
      <w:r>
        <w:commentReference w:id="4"/>
      </w:r>
    </w:p>
    <w:p>
      <w:pPr>
        <w:numPr>
          <w:ilvl w:val="0"/>
          <w:numId w:val="0"/>
        </w:numPr>
        <w:spacing w:line="600" w:lineRule="exact"/>
        <w:ind w:firstLine="643" w:firstLineChars="20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58</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92</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94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61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2021年无公务用车购置</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b/>
          <w:color w:val="auto"/>
          <w:sz w:val="32"/>
          <w:szCs w:val="32"/>
          <w:highlight w:val="none"/>
          <w:lang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85</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辆、越野</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辆、大中客车</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辆、小客车</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辆、其他车辆</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、摩托车</w:t>
      </w:r>
      <w:r>
        <w:rPr>
          <w:rFonts w:hint="eastAsia" w:ascii="仿宋_GB2312" w:eastAsia="仿宋_GB2312"/>
          <w:color w:val="auto"/>
          <w:sz w:val="32"/>
          <w:szCs w:val="32"/>
          <w:highlight w:val="none"/>
          <w:lang w:val="en-US" w:eastAsia="zh-CN"/>
        </w:rPr>
        <w:t>13辆</w:t>
      </w:r>
      <w:r>
        <w:rPr>
          <w:rFonts w:hint="eastAsia" w:ascii="仿宋_GB2312" w:eastAsia="仿宋_GB2312"/>
          <w:color w:val="auto"/>
          <w:sz w:val="32"/>
          <w:szCs w:val="32"/>
          <w:highlight w:val="none"/>
          <w:lang w:eastAsia="zh-CN"/>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58</w:t>
      </w:r>
      <w:r>
        <w:rPr>
          <w:rFonts w:hint="eastAsia" w:ascii="仿宋_GB2312" w:eastAsia="仿宋_GB2312"/>
          <w:color w:val="auto"/>
          <w:sz w:val="32"/>
          <w:szCs w:val="32"/>
          <w:highlight w:val="none"/>
        </w:rPr>
        <w:t>万元。主要用</w:t>
      </w:r>
      <w:r>
        <w:rPr>
          <w:rFonts w:hint="eastAsia" w:ascii="仿宋_GB2312" w:eastAsia="仿宋_GB2312"/>
          <w:color w:val="auto"/>
          <w:sz w:val="32"/>
          <w:szCs w:val="32"/>
          <w:highlight w:val="none"/>
          <w:lang w:eastAsia="zh-CN"/>
        </w:rPr>
        <w:t>于执法执勤</w:t>
      </w:r>
      <w:r>
        <w:rPr>
          <w:rFonts w:hint="eastAsia" w:ascii="仿宋_GB2312" w:eastAsia="仿宋_GB2312"/>
          <w:color w:val="auto"/>
          <w:sz w:val="32"/>
          <w:szCs w:val="32"/>
          <w:highlight w:val="none"/>
        </w:rPr>
        <w:t>等所需的公务用车燃料费、维修费、过路过桥费、保险费等支出。</w:t>
      </w:r>
    </w:p>
    <w:p>
      <w:pPr>
        <w:keepNext w:val="0"/>
        <w:keepLines w:val="0"/>
        <w:widowControl/>
        <w:suppressLineNumbers w:val="0"/>
        <w:ind w:firstLine="643" w:firstLineChars="200"/>
        <w:jc w:val="left"/>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1</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50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基本持平。</w:t>
      </w:r>
      <w:r>
        <w:rPr>
          <w:rFonts w:hint="eastAsia" w:ascii="仿宋_GB2312" w:eastAsia="仿宋_GB2312"/>
          <w:color w:val="000000"/>
          <w:sz w:val="32"/>
          <w:szCs w:val="32"/>
          <w:highlight w:val="none"/>
        </w:rPr>
        <w:t>主要原因</w:t>
      </w:r>
      <w:r>
        <w:rPr>
          <w:rFonts w:ascii="仿宋_GB2312" w:hAnsi="仿宋_GB2312" w:eastAsia="仿宋_GB2312" w:cs="仿宋_GB2312"/>
          <w:color w:val="000000"/>
          <w:kern w:val="0"/>
          <w:sz w:val="31"/>
          <w:szCs w:val="31"/>
          <w:highlight w:val="none"/>
          <w:lang w:val="en-US" w:eastAsia="zh-CN" w:bidi="ar"/>
        </w:rPr>
        <w:t>是</w:t>
      </w:r>
      <w:r>
        <w:rPr>
          <w:rFonts w:ascii="仿宋" w:hAnsi="仿宋" w:eastAsia="仿宋" w:cs="仿宋"/>
          <w:color w:val="000000"/>
          <w:kern w:val="0"/>
          <w:sz w:val="31"/>
          <w:szCs w:val="31"/>
          <w:highlight w:val="none"/>
          <w:lang w:val="en-US" w:eastAsia="zh-CN" w:bidi="ar"/>
        </w:rPr>
        <w:t>认真贯彻中央、省、市县关于厉行节约的各项要求，</w:t>
      </w:r>
      <w:r>
        <w:rPr>
          <w:rFonts w:hint="eastAsia" w:ascii="仿宋" w:hAnsi="仿宋" w:eastAsia="仿宋" w:cs="仿宋"/>
          <w:color w:val="000000"/>
          <w:kern w:val="0"/>
          <w:sz w:val="31"/>
          <w:szCs w:val="31"/>
          <w:highlight w:val="none"/>
          <w:lang w:val="en-US" w:eastAsia="zh-CN" w:bidi="ar"/>
        </w:rPr>
        <w:t xml:space="preserve">进一步控制“三公经费”开支。 </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1</w:t>
      </w:r>
      <w:r>
        <w:rPr>
          <w:rFonts w:hint="eastAsia" w:ascii="仿宋_GB2312" w:eastAsia="仿宋_GB2312"/>
          <w:color w:val="auto"/>
          <w:sz w:val="32"/>
          <w:szCs w:val="32"/>
          <w:highlight w:val="none"/>
        </w:rPr>
        <w:t>万元，</w:t>
      </w:r>
      <w:r>
        <w:rPr>
          <w:rFonts w:hint="eastAsia" w:ascii="仿宋_GB2312" w:eastAsia="仿宋_GB2312"/>
          <w:color w:val="000000"/>
          <w:sz w:val="32"/>
          <w:szCs w:val="32"/>
          <w:highlight w:val="none"/>
        </w:rPr>
        <w:t>主要用于</w:t>
      </w:r>
      <w:r>
        <w:rPr>
          <w:rFonts w:hint="eastAsia" w:ascii="仿宋_GB2312" w:eastAsia="仿宋_GB2312"/>
          <w:color w:val="000000"/>
          <w:sz w:val="32"/>
          <w:szCs w:val="32"/>
          <w:highlight w:val="none"/>
          <w:lang w:eastAsia="zh-CN"/>
        </w:rPr>
        <w:t>省厅、其他市、县公安局来考察学习</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执行公务活动开支</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用餐费。国内公务接待</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166</w:t>
      </w:r>
      <w:r>
        <w:rPr>
          <w:rFonts w:hint="eastAsia" w:ascii="仿宋_GB2312" w:eastAsia="仿宋_GB2312"/>
          <w:color w:val="auto"/>
          <w:sz w:val="32"/>
          <w:szCs w:val="32"/>
          <w:highlight w:val="none"/>
        </w:rPr>
        <w:t>人次（</w:t>
      </w:r>
      <w:r>
        <w:rPr>
          <w:rFonts w:hint="eastAsia" w:ascii="仿宋_GB2312" w:eastAsia="仿宋_GB2312"/>
          <w:color w:val="auto"/>
          <w:sz w:val="32"/>
          <w:szCs w:val="32"/>
          <w:highlight w:val="none"/>
          <w:lang w:eastAsia="zh-CN"/>
        </w:rPr>
        <w:t>含</w:t>
      </w:r>
      <w:r>
        <w:rPr>
          <w:rFonts w:hint="eastAsia" w:ascii="仿宋_GB2312" w:eastAsia="仿宋_GB2312"/>
          <w:color w:val="auto"/>
          <w:sz w:val="32"/>
          <w:szCs w:val="32"/>
          <w:highlight w:val="none"/>
        </w:rPr>
        <w:t>陪同人员），共计支出</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2月份</w:t>
      </w:r>
      <w:r>
        <w:rPr>
          <w:rFonts w:hint="eastAsia" w:ascii="仿宋_GB2312" w:eastAsia="仿宋_GB2312"/>
          <w:color w:val="auto"/>
          <w:sz w:val="32"/>
          <w:szCs w:val="32"/>
          <w:highlight w:val="none"/>
          <w:lang w:eastAsia="zh-CN"/>
        </w:rPr>
        <w:t>达州市公安局考察学习</w:t>
      </w:r>
      <w:r>
        <w:rPr>
          <w:rFonts w:hint="eastAsia" w:ascii="仿宋_GB2312" w:eastAsia="仿宋_GB2312"/>
          <w:color w:val="auto"/>
          <w:sz w:val="32"/>
          <w:szCs w:val="32"/>
          <w:highlight w:val="none"/>
          <w:lang w:val="en-US" w:eastAsia="zh-CN"/>
        </w:rPr>
        <w:t>21人1150元、全市缉毒执法绩效考核7人420元、全省警保装财交叉检查16人1020元、市森林警察公务活动6人300元、市禁毒支队公务活动10人550元；3月份市政治安全支队开展公务活动10人500元；5月份市政保支队来局检查6人300元；6月份“护旗”交叉检查10人800元、全市执法活动检查5人300元、市森林警察开展公务活动8人560元；7月份省厅第九督导组工作检查12人900元；12月份市政保支队检查工作5人200元、市指挥中心检查工作11人550元、南江县公安局考察学习31人1880元；看守所2021年公务接待2次8人500元。</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67" w:name="_Toc15377218"/>
      <w:bookmarkStart w:id="68" w:name="_Toc15396610"/>
    </w:p>
    <w:p>
      <w:pPr>
        <w:spacing w:line="600" w:lineRule="exact"/>
        <w:ind w:firstLine="640"/>
        <w:outlineLvl w:val="1"/>
        <w:rPr>
          <w:rStyle w:val="29"/>
          <w:rFonts w:ascii="黑体" w:hAnsi="黑体" w:eastAsia="黑体"/>
          <w:color w:val="auto"/>
          <w:highlight w:val="none"/>
        </w:rPr>
      </w:pPr>
      <w:bookmarkStart w:id="69" w:name="_Toc7299"/>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67"/>
      <w:bookmarkEnd w:id="68"/>
      <w:bookmarkEnd w:id="6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1730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ascii="黑体" w:hAnsi="黑体" w:eastAsia="黑体"/>
          <w:b w:val="0"/>
          <w:color w:val="auto"/>
          <w:highlight w:val="none"/>
        </w:rPr>
      </w:pPr>
      <w:bookmarkStart w:id="70" w:name="_Toc15377219"/>
      <w:bookmarkStart w:id="71" w:name="_Toc15396611"/>
      <w:bookmarkStart w:id="72" w:name="_Toc25358"/>
      <w:r>
        <w:rPr>
          <w:rStyle w:val="29"/>
          <w:rFonts w:hint="eastAsia" w:ascii="黑体" w:hAnsi="黑体" w:eastAsia="黑体"/>
          <w:b w:val="0"/>
          <w:color w:val="auto"/>
          <w:highlight w:val="none"/>
        </w:rPr>
        <w:t>国有资本经营预算支出决算情况说明</w:t>
      </w:r>
      <w:bookmarkEnd w:id="70"/>
      <w:bookmarkEnd w:id="71"/>
      <w:bookmarkEnd w:id="72"/>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9"/>
          <w:rFonts w:hint="eastAsia" w:ascii="黑体" w:hAnsi="黑体" w:eastAsia="黑体"/>
          <w:b w:val="0"/>
          <w:color w:val="auto"/>
          <w:highlight w:val="none"/>
        </w:rPr>
      </w:pPr>
      <w:bookmarkStart w:id="73" w:name="_Toc4461"/>
      <w:bookmarkStart w:id="74" w:name="_Toc15396612"/>
      <w:bookmarkStart w:id="75" w:name="_Toc15377221"/>
      <w:r>
        <w:rPr>
          <w:rStyle w:val="29"/>
          <w:rFonts w:hint="eastAsia" w:ascii="黑体" w:hAnsi="黑体" w:eastAsia="黑体"/>
          <w:b w:val="0"/>
          <w:color w:val="auto"/>
          <w:highlight w:val="none"/>
        </w:rPr>
        <w:t>其他重要事项的情况说明</w:t>
      </w:r>
      <w:bookmarkEnd w:id="73"/>
      <w:bookmarkEnd w:id="74"/>
      <w:bookmarkEnd w:id="75"/>
    </w:p>
    <w:p>
      <w:pPr>
        <w:spacing w:line="600" w:lineRule="exact"/>
        <w:ind w:firstLine="643" w:firstLineChars="200"/>
        <w:outlineLvl w:val="2"/>
        <w:rPr>
          <w:rFonts w:ascii="仿宋" w:hAnsi="仿宋" w:eastAsia="仿宋"/>
          <w:color w:val="auto"/>
          <w:sz w:val="32"/>
          <w:szCs w:val="32"/>
          <w:highlight w:val="none"/>
        </w:rPr>
      </w:pPr>
      <w:bookmarkStart w:id="76" w:name="_Toc15377222"/>
      <w:r>
        <w:rPr>
          <w:rFonts w:hint="eastAsia" w:ascii="仿宋" w:hAnsi="仿宋" w:eastAsia="仿宋"/>
          <w:b/>
          <w:color w:val="auto"/>
          <w:sz w:val="32"/>
          <w:szCs w:val="32"/>
          <w:highlight w:val="none"/>
        </w:rPr>
        <w:t>（一）机关运行经费支出情况</w:t>
      </w:r>
      <w:bookmarkEnd w:id="7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highlight w:val="none"/>
          <w:lang w:eastAsia="zh-CN"/>
        </w:rPr>
        <w:t>公安局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1535</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办公水、电、气、物业管理费略有增加。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7" w:name="_Toc15377223"/>
      <w:r>
        <w:rPr>
          <w:rFonts w:hint="eastAsia" w:ascii="仿宋" w:hAnsi="仿宋" w:eastAsia="仿宋"/>
          <w:b/>
          <w:color w:val="auto"/>
          <w:sz w:val="32"/>
          <w:szCs w:val="32"/>
          <w:highlight w:val="none"/>
        </w:rPr>
        <w:t>（二）政府采购支出情况</w:t>
      </w:r>
      <w:bookmarkEnd w:id="77"/>
    </w:p>
    <w:p>
      <w:pPr>
        <w:spacing w:line="600" w:lineRule="exact"/>
        <w:ind w:firstLine="640" w:firstLineChars="200"/>
        <w:rPr>
          <w:rFonts w:ascii="仿宋" w:hAnsi="仿宋" w:eastAsia="仿宋"/>
          <w:b/>
          <w:color w:val="FF0000"/>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公安</w:t>
      </w:r>
      <w:r>
        <w:rPr>
          <w:rFonts w:hint="eastAsia" w:ascii="仿宋_GB2312" w:eastAsia="仿宋_GB2312"/>
          <w:color w:val="000000"/>
          <w:sz w:val="32"/>
          <w:szCs w:val="32"/>
          <w:highlight w:val="none"/>
          <w:lang w:eastAsia="zh-CN"/>
        </w:rPr>
        <w:t>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251</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235</w:t>
      </w:r>
      <w:r>
        <w:rPr>
          <w:rFonts w:hint="eastAsia" w:ascii="仿宋_GB2312" w:eastAsia="仿宋_GB2312"/>
          <w:color w:val="auto"/>
          <w:sz w:val="32"/>
          <w:szCs w:val="32"/>
          <w:highlight w:val="none"/>
        </w:rPr>
        <w:t>万元。主要用</w:t>
      </w:r>
      <w:r>
        <w:rPr>
          <w:rFonts w:hint="eastAsia" w:ascii="仿宋_GB2312" w:eastAsia="仿宋_GB2312"/>
          <w:color w:val="auto"/>
          <w:sz w:val="32"/>
          <w:szCs w:val="32"/>
          <w:highlight w:val="none"/>
          <w:lang w:eastAsia="zh-CN"/>
        </w:rPr>
        <w:t>办公电脑、打印机、物业管理、劳务派遣等采购支出</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8" w:name="_Toc15377224"/>
      <w:r>
        <w:rPr>
          <w:rFonts w:hint="eastAsia" w:ascii="仿宋" w:hAnsi="仿宋" w:eastAsia="仿宋"/>
          <w:b/>
          <w:color w:val="auto"/>
          <w:sz w:val="32"/>
          <w:szCs w:val="32"/>
          <w:highlight w:val="none"/>
        </w:rPr>
        <w:t>（三）国有资产占有使用情况</w:t>
      </w:r>
      <w:bookmarkEnd w:id="78"/>
    </w:p>
    <w:p>
      <w:pPr>
        <w:autoSpaceDE w:val="0"/>
        <w:autoSpaceDN w:val="0"/>
        <w:adjustRightInd w:val="0"/>
        <w:spacing w:line="600" w:lineRule="exact"/>
        <w:ind w:firstLine="640" w:firstLineChars="200"/>
        <w:jc w:val="left"/>
        <w:rPr>
          <w:rFonts w:ascii="仿宋" w:hAnsi="仿宋" w:eastAsia="仿宋"/>
          <w:b/>
          <w:color w:val="FF0000"/>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公安</w:t>
      </w:r>
      <w:r>
        <w:rPr>
          <w:rFonts w:hint="eastAsia" w:ascii="仿宋_GB2312" w:eastAsia="仿宋_GB2312"/>
          <w:color w:val="000000"/>
          <w:sz w:val="32"/>
          <w:szCs w:val="32"/>
          <w:highlight w:val="none"/>
          <w:lang w:eastAsia="zh-CN"/>
        </w:rPr>
        <w:t>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85</w:t>
      </w:r>
      <w:r>
        <w:rPr>
          <w:rFonts w:hint="eastAsia" w:ascii="仿宋_GB2312" w:eastAsia="仿宋_GB2312"/>
          <w:color w:val="auto"/>
          <w:sz w:val="32"/>
          <w:szCs w:val="32"/>
          <w:highlight w:val="none"/>
        </w:rPr>
        <w:t>辆，其中：主要</w:t>
      </w:r>
      <w:r>
        <w:rPr>
          <w:rFonts w:hint="eastAsia" w:ascii="仿宋_GB2312" w:eastAsia="仿宋_GB2312"/>
          <w:color w:val="auto"/>
          <w:sz w:val="32"/>
          <w:szCs w:val="32"/>
          <w:highlight w:val="none"/>
          <w:lang w:eastAsia="zh-CN"/>
        </w:rPr>
        <w:t>是执法执勤车</w:t>
      </w:r>
      <w:r>
        <w:rPr>
          <w:rFonts w:hint="eastAsia" w:ascii="仿宋_GB2312" w:eastAsia="仿宋_GB2312"/>
          <w:color w:val="auto"/>
          <w:sz w:val="32"/>
          <w:szCs w:val="32"/>
          <w:highlight w:val="none"/>
          <w:lang w:val="en-US" w:eastAsia="zh-CN"/>
        </w:rPr>
        <w:t>72</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eastAsia="zh-CN"/>
        </w:rPr>
        <w:t>系摩托车。</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个项目编制了绩效目标，预算执行过程中，</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lang w:val="en-US" w:eastAsia="zh-CN"/>
        </w:rPr>
        <w:t>29</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个项目开展了</w:t>
      </w:r>
      <w:r>
        <w:rPr>
          <w:rFonts w:hint="eastAsia" w:ascii="仿宋_GB2312" w:hAnsi="仿宋_GB2312" w:eastAsia="仿宋_GB2312" w:cs="仿宋_GB2312"/>
          <w:color w:val="auto"/>
          <w:sz w:val="32"/>
          <w:szCs w:val="32"/>
          <w:highlight w:val="none"/>
          <w:lang w:eastAsia="zh-CN"/>
        </w:rPr>
        <w:t>专项</w:t>
      </w:r>
      <w:r>
        <w:rPr>
          <w:rFonts w:hint="eastAsia" w:ascii="仿宋_GB2312" w:hAnsi="仿宋_GB2312" w:eastAsia="仿宋_GB2312" w:cs="仿宋_GB2312"/>
          <w:color w:val="auto"/>
          <w:sz w:val="32"/>
          <w:szCs w:val="32"/>
          <w:highlight w:val="none"/>
        </w:rPr>
        <w:t>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平昌县公安局</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3" w:firstLineChars="150"/>
        <w:jc w:val="center"/>
        <w:outlineLvl w:val="0"/>
        <w:rPr>
          <w:rStyle w:val="28"/>
          <w:rFonts w:ascii="黑体" w:hAnsi="黑体" w:eastAsia="黑体"/>
          <w:b/>
          <w:bCs/>
          <w:color w:val="auto"/>
          <w:highlight w:val="none"/>
        </w:rPr>
      </w:pPr>
      <w:bookmarkStart w:id="79" w:name="_Toc5438"/>
      <w:bookmarkStart w:id="80" w:name="_Toc15377225"/>
      <w:bookmarkStart w:id="81" w:name="_Toc15396613"/>
      <w:r>
        <w:rPr>
          <w:rFonts w:hint="eastAsia" w:ascii="黑体" w:hAnsi="黑体" w:eastAsia="黑体"/>
          <w:b/>
          <w:bCs/>
          <w:color w:val="auto"/>
          <w:sz w:val="44"/>
          <w:szCs w:val="44"/>
          <w:highlight w:val="none"/>
        </w:rPr>
        <w:t>名</w:t>
      </w:r>
      <w:r>
        <w:rPr>
          <w:rStyle w:val="28"/>
          <w:rFonts w:hint="eastAsia" w:ascii="黑体" w:hAnsi="黑体" w:eastAsia="黑体"/>
          <w:b/>
          <w:bCs/>
          <w:color w:val="auto"/>
          <w:highlight w:val="none"/>
        </w:rPr>
        <w:t>词解释</w:t>
      </w:r>
      <w:bookmarkEnd w:id="79"/>
      <w:bookmarkEnd w:id="80"/>
      <w:bookmarkEnd w:id="81"/>
    </w:p>
    <w:p>
      <w:pPr>
        <w:spacing w:line="600" w:lineRule="exact"/>
        <w:jc w:val="left"/>
        <w:rPr>
          <w:rFonts w:ascii="宋体"/>
          <w:b/>
          <w:color w:val="auto"/>
          <w:sz w:val="44"/>
          <w:szCs w:val="44"/>
          <w:highlight w:val="none"/>
        </w:rPr>
      </w:pPr>
    </w:p>
    <w:p>
      <w:pPr>
        <w:pStyle w:val="26"/>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numPr>
          <w:ilvl w:val="0"/>
          <w:numId w:val="0"/>
        </w:numPr>
        <w:spacing w:line="600" w:lineRule="exact"/>
        <w:ind w:firstLine="640" w:firstLineChars="200"/>
        <w:rPr>
          <w:rStyle w:val="18"/>
          <w:rFonts w:hint="eastAsia" w:ascii="仿宋" w:hAnsi="仿宋" w:eastAsia="仿宋"/>
          <w:b w:val="0"/>
          <w:bCs w:val="0"/>
          <w:color w:val="000000"/>
          <w:sz w:val="32"/>
          <w:szCs w:val="32"/>
          <w:highlight w:val="none"/>
          <w:lang w:val="en-US" w:eastAsia="zh-CN"/>
        </w:rPr>
      </w:pPr>
      <w:r>
        <w:rPr>
          <w:rStyle w:val="18"/>
          <w:rFonts w:hint="eastAsia" w:ascii="仿宋" w:hAnsi="仿宋" w:eastAsia="仿宋"/>
          <w:b w:val="0"/>
          <w:bCs w:val="0"/>
          <w:color w:val="000000"/>
          <w:sz w:val="32"/>
          <w:szCs w:val="32"/>
          <w:highlight w:val="none"/>
          <w:lang w:val="en-US" w:eastAsia="zh-CN"/>
        </w:rPr>
        <w:t>2.</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行政运行</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指：公安机关的基本支出。</w:t>
      </w:r>
    </w:p>
    <w:p>
      <w:pPr>
        <w:spacing w:line="600" w:lineRule="exact"/>
        <w:ind w:left="638" w:leftChars="304" w:firstLine="0" w:firstLineChars="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3.</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信息化建设</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w:t>
      </w:r>
    </w:p>
    <w:p>
      <w:pPr>
        <w:spacing w:line="600" w:lineRule="exact"/>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eastAsia="zh-CN"/>
        </w:rPr>
        <w:t>公安机关用于非涉密的信息网络建设和运行维护相关支出。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4.</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执法办案</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指：公安机关从事行政执法、刑事司法及侦查办案等相关活动的支出。</w:t>
      </w:r>
    </w:p>
    <w:p>
      <w:pPr>
        <w:spacing w:line="600" w:lineRule="exact"/>
        <w:ind w:firstLine="640" w:firstLineChars="200"/>
        <w:rPr>
          <w:rStyle w:val="18"/>
          <w:rFonts w:hint="default" w:ascii="仿宋" w:hAnsi="仿宋" w:eastAsia="仿宋"/>
          <w:b w:val="0"/>
          <w:bCs w:val="0"/>
          <w:color w:val="000000"/>
          <w:sz w:val="32"/>
          <w:szCs w:val="32"/>
          <w:highlight w:val="none"/>
          <w:lang w:val="en-US" w:eastAsia="zh-CN"/>
        </w:rPr>
      </w:pPr>
      <w:r>
        <w:rPr>
          <w:rStyle w:val="18"/>
          <w:rFonts w:hint="eastAsia" w:ascii="仿宋" w:hAnsi="仿宋" w:eastAsia="仿宋"/>
          <w:b w:val="0"/>
          <w:bCs w:val="0"/>
          <w:color w:val="000000"/>
          <w:sz w:val="32"/>
          <w:szCs w:val="32"/>
          <w:highlight w:val="none"/>
          <w:lang w:val="en-US" w:eastAsia="zh-CN"/>
        </w:rPr>
        <w:t>5.</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事业运行</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指：公安机关事业人员基本支出。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6.</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公安</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其他公安支出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指：除上述项目以外其他用于公安方面的支出。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7.</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司法</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其他司法支出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指：用于公安机关从事行政执法、刑事司法办案方面的支出。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8.</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强制隔离戒毒支出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其他强制隔离戒毒支出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指：用于公安机关禁毒管理方面的支出。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9.</w:t>
      </w:r>
      <w:r>
        <w:rPr>
          <w:rStyle w:val="18"/>
          <w:rFonts w:hint="eastAsia" w:ascii="仿宋" w:hAnsi="仿宋" w:eastAsia="仿宋"/>
          <w:b w:val="0"/>
          <w:bCs w:val="0"/>
          <w:color w:val="000000"/>
          <w:sz w:val="32"/>
          <w:szCs w:val="32"/>
          <w:highlight w:val="none"/>
        </w:rPr>
        <w:t>一般公共服务（类）</w:t>
      </w:r>
      <w:r>
        <w:rPr>
          <w:rStyle w:val="18"/>
          <w:rFonts w:hint="eastAsia" w:ascii="仿宋" w:hAnsi="仿宋" w:eastAsia="仿宋"/>
          <w:b w:val="0"/>
          <w:bCs w:val="0"/>
          <w:color w:val="000000"/>
          <w:sz w:val="32"/>
          <w:szCs w:val="32"/>
          <w:highlight w:val="none"/>
          <w:lang w:eastAsia="zh-CN"/>
        </w:rPr>
        <w:t>其他公共安全支出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其他公安支出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指：公安机关其他用于公共安全方面的支出。</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10</w:t>
      </w:r>
      <w:r>
        <w:rPr>
          <w:rStyle w:val="18"/>
          <w:rFonts w:ascii="仿宋" w:hAnsi="仿宋" w:eastAsia="仿宋"/>
          <w:b w:val="0"/>
          <w:bCs w:val="0"/>
          <w:color w:val="000000"/>
          <w:sz w:val="32"/>
          <w:szCs w:val="32"/>
          <w:highlight w:val="none"/>
        </w:rPr>
        <w:t>.</w:t>
      </w:r>
      <w:r>
        <w:rPr>
          <w:rStyle w:val="18"/>
          <w:rFonts w:hint="eastAsia" w:ascii="仿宋" w:hAnsi="仿宋" w:eastAsia="仿宋"/>
          <w:b w:val="0"/>
          <w:bCs w:val="0"/>
          <w:color w:val="000000"/>
          <w:sz w:val="32"/>
          <w:szCs w:val="32"/>
          <w:highlight w:val="none"/>
        </w:rPr>
        <w:t>社会保障和就业（类）</w:t>
      </w:r>
      <w:r>
        <w:rPr>
          <w:rStyle w:val="18"/>
          <w:rFonts w:hint="eastAsia" w:ascii="仿宋" w:hAnsi="仿宋" w:eastAsia="仿宋"/>
          <w:b w:val="0"/>
          <w:bCs w:val="0"/>
          <w:color w:val="000000"/>
          <w:sz w:val="32"/>
          <w:szCs w:val="32"/>
          <w:highlight w:val="none"/>
          <w:lang w:eastAsia="zh-CN"/>
        </w:rPr>
        <w:t>行政事业单位养老支出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机关事业单位基本养老保险缴费支出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指：机关事业单位实施养老保险制度由单位缴纳的基本养老保险费支出。</w:t>
      </w:r>
    </w:p>
    <w:p>
      <w:pPr>
        <w:spacing w:line="600" w:lineRule="exact"/>
        <w:ind w:firstLine="640" w:firstLineChars="200"/>
        <w:rPr>
          <w:rStyle w:val="18"/>
          <w:rFonts w:hint="eastAsia"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11</w:t>
      </w:r>
      <w:r>
        <w:rPr>
          <w:rStyle w:val="18"/>
          <w:rFonts w:ascii="仿宋" w:hAnsi="仿宋" w:eastAsia="仿宋"/>
          <w:b w:val="0"/>
          <w:bCs w:val="0"/>
          <w:color w:val="000000"/>
          <w:sz w:val="32"/>
          <w:szCs w:val="32"/>
          <w:highlight w:val="none"/>
        </w:rPr>
        <w:t>.</w:t>
      </w:r>
      <w:r>
        <w:rPr>
          <w:rStyle w:val="18"/>
          <w:rFonts w:hint="eastAsia" w:ascii="仿宋" w:hAnsi="仿宋" w:eastAsia="仿宋"/>
          <w:b w:val="0"/>
          <w:bCs w:val="0"/>
          <w:color w:val="000000"/>
          <w:sz w:val="32"/>
          <w:szCs w:val="32"/>
          <w:highlight w:val="none"/>
        </w:rPr>
        <w:t>社会保障和就业（类）</w:t>
      </w:r>
      <w:r>
        <w:rPr>
          <w:rStyle w:val="18"/>
          <w:rFonts w:hint="eastAsia" w:ascii="仿宋" w:hAnsi="仿宋" w:eastAsia="仿宋"/>
          <w:b w:val="0"/>
          <w:bCs w:val="0"/>
          <w:color w:val="000000"/>
          <w:sz w:val="32"/>
          <w:szCs w:val="32"/>
          <w:highlight w:val="none"/>
          <w:lang w:eastAsia="zh-CN"/>
        </w:rPr>
        <w:t>其他社会保障和就业支出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其他社会保障和就业支出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指：其他用于行政事业单位养老方面的支出。</w:t>
      </w:r>
    </w:p>
    <w:p>
      <w:pPr>
        <w:spacing w:line="600" w:lineRule="exact"/>
        <w:ind w:firstLine="640" w:firstLineChars="200"/>
        <w:rPr>
          <w:rFonts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12</w:t>
      </w:r>
      <w:r>
        <w:rPr>
          <w:rStyle w:val="18"/>
          <w:rFonts w:ascii="仿宋" w:hAnsi="仿宋" w:eastAsia="仿宋"/>
          <w:b w:val="0"/>
          <w:bCs w:val="0"/>
          <w:color w:val="000000"/>
          <w:sz w:val="32"/>
          <w:szCs w:val="32"/>
          <w:highlight w:val="none"/>
        </w:rPr>
        <w:t>.</w:t>
      </w:r>
      <w:r>
        <w:rPr>
          <w:rFonts w:hint="eastAsia" w:ascii="仿宋" w:hAnsi="仿宋" w:eastAsia="仿宋"/>
          <w:b w:val="0"/>
          <w:bCs w:val="0"/>
          <w:color w:val="000000"/>
          <w:sz w:val="32"/>
          <w:szCs w:val="32"/>
          <w:highlight w:val="none"/>
        </w:rPr>
        <w:t>卫生健康</w:t>
      </w:r>
      <w:r>
        <w:rPr>
          <w:rFonts w:hint="eastAsia" w:ascii="仿宋" w:hAnsi="仿宋" w:eastAsia="仿宋"/>
          <w:b w:val="0"/>
          <w:bCs w:val="0"/>
          <w:color w:val="000000"/>
          <w:sz w:val="32"/>
          <w:szCs w:val="32"/>
          <w:highlight w:val="none"/>
          <w:lang w:eastAsia="zh-CN"/>
        </w:rPr>
        <w:t>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行政事业单位医疗</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行政单位医疗</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指：行政单位基本医疗保险缴费经费，未参加医疗保险的行政单位的公费医疗经费，按国家规定享受离休人员、红军老战士待遇人员的医疗经费。</w:t>
      </w:r>
    </w:p>
    <w:p>
      <w:pPr>
        <w:spacing w:line="600" w:lineRule="exact"/>
        <w:ind w:firstLine="640" w:firstLineChars="200"/>
        <w:rPr>
          <w:rFonts w:hint="eastAsia"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13</w:t>
      </w:r>
      <w:r>
        <w:rPr>
          <w:rStyle w:val="18"/>
          <w:rFonts w:ascii="仿宋" w:hAnsi="仿宋" w:eastAsia="仿宋"/>
          <w:b w:val="0"/>
          <w:bCs w:val="0"/>
          <w:color w:val="000000"/>
          <w:sz w:val="32"/>
          <w:szCs w:val="32"/>
          <w:highlight w:val="none"/>
        </w:rPr>
        <w:t>.</w:t>
      </w:r>
      <w:r>
        <w:rPr>
          <w:rFonts w:hint="eastAsia" w:ascii="仿宋" w:hAnsi="仿宋" w:eastAsia="仿宋"/>
          <w:b w:val="0"/>
          <w:bCs w:val="0"/>
          <w:color w:val="000000"/>
          <w:sz w:val="32"/>
          <w:szCs w:val="32"/>
          <w:highlight w:val="none"/>
        </w:rPr>
        <w:t>卫生健康</w:t>
      </w:r>
      <w:r>
        <w:rPr>
          <w:rFonts w:hint="eastAsia" w:ascii="仿宋" w:hAnsi="仿宋" w:eastAsia="仿宋"/>
          <w:b w:val="0"/>
          <w:bCs w:val="0"/>
          <w:color w:val="000000"/>
          <w:sz w:val="32"/>
          <w:szCs w:val="32"/>
          <w:highlight w:val="none"/>
          <w:lang w:eastAsia="zh-CN"/>
        </w:rPr>
        <w:t>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行政事业单位医疗</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事业单位医疗</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指：事业人员基本医疗保险缴费经费，未参加医疗保险的事业单位的公费医疗经费，按国家规定享受离体人员待遇的医疗经费。</w:t>
      </w:r>
    </w:p>
    <w:p>
      <w:pPr>
        <w:spacing w:line="600" w:lineRule="exact"/>
        <w:ind w:firstLine="640" w:firstLineChars="200"/>
        <w:rPr>
          <w:rStyle w:val="18"/>
          <w:rFonts w:hint="eastAsia" w:ascii="仿宋" w:hAnsi="仿宋" w:eastAsia="仿宋"/>
          <w:b w:val="0"/>
          <w:bCs w:val="0"/>
          <w:color w:val="000000"/>
          <w:sz w:val="32"/>
          <w:szCs w:val="32"/>
          <w:highlight w:val="none"/>
        </w:rPr>
      </w:pPr>
      <w:r>
        <w:rPr>
          <w:rStyle w:val="18"/>
          <w:rFonts w:hint="eastAsia" w:ascii="仿宋" w:hAnsi="仿宋" w:eastAsia="仿宋"/>
          <w:b w:val="0"/>
          <w:bCs w:val="0"/>
          <w:color w:val="000000"/>
          <w:sz w:val="32"/>
          <w:szCs w:val="32"/>
          <w:highlight w:val="none"/>
          <w:lang w:val="en-US" w:eastAsia="zh-CN"/>
        </w:rPr>
        <w:t>14</w:t>
      </w:r>
      <w:r>
        <w:rPr>
          <w:rStyle w:val="18"/>
          <w:rFonts w:ascii="仿宋" w:hAnsi="仿宋" w:eastAsia="仿宋"/>
          <w:b w:val="0"/>
          <w:bCs w:val="0"/>
          <w:color w:val="000000"/>
          <w:sz w:val="32"/>
          <w:szCs w:val="32"/>
          <w:highlight w:val="none"/>
        </w:rPr>
        <w:t>.</w:t>
      </w:r>
      <w:r>
        <w:rPr>
          <w:rFonts w:hint="eastAsia" w:ascii="仿宋" w:hAnsi="仿宋" w:eastAsia="仿宋"/>
          <w:b w:val="0"/>
          <w:bCs w:val="0"/>
          <w:color w:val="000000"/>
          <w:sz w:val="32"/>
          <w:szCs w:val="32"/>
          <w:highlight w:val="none"/>
        </w:rPr>
        <w:t>卫生健康</w:t>
      </w:r>
      <w:r>
        <w:rPr>
          <w:rFonts w:hint="eastAsia" w:ascii="仿宋" w:hAnsi="仿宋" w:eastAsia="仿宋"/>
          <w:b w:val="0"/>
          <w:bCs w:val="0"/>
          <w:color w:val="000000"/>
          <w:sz w:val="32"/>
          <w:szCs w:val="32"/>
          <w:highlight w:val="none"/>
          <w:lang w:eastAsia="zh-CN"/>
        </w:rPr>
        <w:t>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行政事业单位医疗</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公务员医疗补助</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指：公务员医疗补助经费。</w:t>
      </w:r>
    </w:p>
    <w:p>
      <w:pPr>
        <w:spacing w:line="600" w:lineRule="exact"/>
        <w:ind w:firstLine="640" w:firstLineChars="200"/>
        <w:rPr>
          <w:rStyle w:val="18"/>
          <w:rFonts w:hint="eastAsia" w:ascii="仿宋" w:hAnsi="仿宋" w:eastAsia="仿宋"/>
          <w:b w:val="0"/>
          <w:bCs w:val="0"/>
          <w:color w:val="000000"/>
          <w:sz w:val="32"/>
          <w:szCs w:val="32"/>
          <w:highlight w:val="none"/>
          <w:lang w:eastAsia="zh-CN"/>
        </w:rPr>
      </w:pPr>
      <w:r>
        <w:rPr>
          <w:rStyle w:val="18"/>
          <w:rFonts w:hint="eastAsia" w:ascii="仿宋" w:hAnsi="仿宋" w:eastAsia="仿宋"/>
          <w:b w:val="0"/>
          <w:bCs w:val="0"/>
          <w:color w:val="000000"/>
          <w:sz w:val="32"/>
          <w:szCs w:val="32"/>
          <w:highlight w:val="none"/>
          <w:lang w:val="en-US" w:eastAsia="zh-CN"/>
        </w:rPr>
        <w:t>15</w:t>
      </w:r>
      <w:r>
        <w:rPr>
          <w:rStyle w:val="18"/>
          <w:rFonts w:ascii="仿宋" w:hAnsi="仿宋" w:eastAsia="仿宋"/>
          <w:b w:val="0"/>
          <w:bCs w:val="0"/>
          <w:color w:val="000000"/>
          <w:sz w:val="32"/>
          <w:szCs w:val="32"/>
          <w:highlight w:val="none"/>
        </w:rPr>
        <w:t>.</w:t>
      </w:r>
      <w:r>
        <w:rPr>
          <w:rStyle w:val="18"/>
          <w:rFonts w:hint="eastAsia" w:ascii="仿宋" w:hAnsi="仿宋" w:eastAsia="仿宋"/>
          <w:b w:val="0"/>
          <w:bCs w:val="0"/>
          <w:color w:val="000000"/>
          <w:sz w:val="32"/>
          <w:szCs w:val="32"/>
          <w:highlight w:val="none"/>
          <w:lang w:eastAsia="zh-CN"/>
        </w:rPr>
        <w:t>农林水支出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扶贫</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其他扶贫支出</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指：用于扶贫方面的支出。</w:t>
      </w:r>
    </w:p>
    <w:p>
      <w:pPr>
        <w:spacing w:line="600" w:lineRule="exact"/>
        <w:ind w:firstLine="640" w:firstLineChars="200"/>
      </w:pPr>
      <w:r>
        <w:rPr>
          <w:rStyle w:val="18"/>
          <w:rFonts w:hint="eastAsia" w:ascii="仿宋" w:hAnsi="仿宋" w:eastAsia="仿宋"/>
          <w:b w:val="0"/>
          <w:bCs w:val="0"/>
          <w:color w:val="000000"/>
          <w:sz w:val="32"/>
          <w:szCs w:val="32"/>
          <w:highlight w:val="none"/>
          <w:lang w:val="en-US" w:eastAsia="zh-CN"/>
        </w:rPr>
        <w:t>16.</w:t>
      </w:r>
      <w:r>
        <w:rPr>
          <w:rStyle w:val="18"/>
          <w:rFonts w:hint="eastAsia" w:ascii="仿宋" w:hAnsi="仿宋" w:eastAsia="仿宋"/>
          <w:b w:val="0"/>
          <w:bCs w:val="0"/>
          <w:color w:val="000000"/>
          <w:sz w:val="32"/>
          <w:szCs w:val="32"/>
          <w:highlight w:val="none"/>
          <w:lang w:eastAsia="zh-CN"/>
        </w:rPr>
        <w:t>住房保障支出</w:t>
      </w:r>
      <w:r>
        <w:rPr>
          <w:rStyle w:val="18"/>
          <w:rFonts w:hint="eastAsia" w:ascii="仿宋" w:hAnsi="仿宋" w:eastAsia="仿宋"/>
          <w:b w:val="0"/>
          <w:bCs w:val="0"/>
          <w:color w:val="000000"/>
          <w:sz w:val="32"/>
          <w:szCs w:val="32"/>
          <w:highlight w:val="none"/>
        </w:rPr>
        <w:t>（类）</w:t>
      </w:r>
      <w:r>
        <w:rPr>
          <w:rStyle w:val="18"/>
          <w:rFonts w:hint="eastAsia" w:ascii="仿宋" w:hAnsi="仿宋" w:eastAsia="仿宋"/>
          <w:b w:val="0"/>
          <w:bCs w:val="0"/>
          <w:color w:val="000000"/>
          <w:sz w:val="32"/>
          <w:szCs w:val="32"/>
          <w:highlight w:val="none"/>
          <w:lang w:eastAsia="zh-CN"/>
        </w:rPr>
        <w:t>住房改革支出</w:t>
      </w:r>
      <w:r>
        <w:rPr>
          <w:rStyle w:val="18"/>
          <w:rFonts w:hint="eastAsia" w:ascii="仿宋" w:hAnsi="仿宋" w:eastAsia="仿宋"/>
          <w:b w:val="0"/>
          <w:bCs w:val="0"/>
          <w:color w:val="000000"/>
          <w:sz w:val="32"/>
          <w:szCs w:val="32"/>
          <w:highlight w:val="none"/>
        </w:rPr>
        <w:t>（款）</w:t>
      </w:r>
      <w:r>
        <w:rPr>
          <w:rStyle w:val="18"/>
          <w:rFonts w:hint="eastAsia" w:ascii="仿宋" w:hAnsi="仿宋" w:eastAsia="仿宋"/>
          <w:b w:val="0"/>
          <w:bCs w:val="0"/>
          <w:color w:val="000000"/>
          <w:sz w:val="32"/>
          <w:szCs w:val="32"/>
          <w:highlight w:val="none"/>
          <w:lang w:eastAsia="zh-CN"/>
        </w:rPr>
        <w:t>住房公积金</w:t>
      </w:r>
      <w:r>
        <w:rPr>
          <w:rStyle w:val="18"/>
          <w:rFonts w:hint="eastAsia" w:ascii="仿宋" w:hAnsi="仿宋" w:eastAsia="仿宋"/>
          <w:b w:val="0"/>
          <w:bCs w:val="0"/>
          <w:color w:val="000000"/>
          <w:sz w:val="32"/>
          <w:szCs w:val="32"/>
          <w:highlight w:val="none"/>
        </w:rPr>
        <w:t>（项）</w:t>
      </w:r>
      <w:r>
        <w:rPr>
          <w:rStyle w:val="18"/>
          <w:rFonts w:hint="eastAsia" w:ascii="仿宋" w:hAnsi="仿宋" w:eastAsia="仿宋"/>
          <w:b w:val="0"/>
          <w:bCs w:val="0"/>
          <w:color w:val="000000"/>
          <w:sz w:val="32"/>
          <w:szCs w:val="32"/>
          <w:highlight w:val="none"/>
          <w:lang w:eastAsia="zh-CN"/>
        </w:rPr>
        <w:t>指：在职人员住房公积金。</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ascii="仿宋_GB2312" w:eastAsia="仿宋_GB2312"/>
          <w:color w:val="000000"/>
          <w:sz w:val="32"/>
          <w:szCs w:val="32"/>
          <w:highlight w:val="none"/>
        </w:rPr>
        <w:t>7.</w:t>
      </w:r>
      <w:r>
        <w:rPr>
          <w:rFonts w:hint="eastAsia" w:ascii="仿宋_GB2312" w:eastAsia="仿宋_GB2312"/>
          <w:color w:val="000000"/>
          <w:sz w:val="32"/>
          <w:szCs w:val="32"/>
          <w:highlight w:val="none"/>
        </w:rPr>
        <w:t>基本支出：指为保障机构正常运转、完成日常工作任务而发生的人员支出和公用支出。</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ascii="仿宋_GB2312" w:eastAsia="仿宋_GB2312"/>
          <w:color w:val="000000"/>
          <w:sz w:val="32"/>
          <w:szCs w:val="32"/>
          <w:highlight w:val="none"/>
        </w:rPr>
        <w:t>8.</w:t>
      </w:r>
      <w:r>
        <w:rPr>
          <w:rFonts w:hint="eastAsia" w:ascii="仿宋_GB2312" w:eastAsia="仿宋_GB2312"/>
          <w:color w:val="000000"/>
          <w:sz w:val="32"/>
          <w:szCs w:val="32"/>
          <w:highlight w:val="none"/>
        </w:rPr>
        <w:t>项目支出：指在基本支出之外为完成特定行政任务和事业发展目标所发生的支出。</w:t>
      </w:r>
      <w:r>
        <w:rPr>
          <w:rFonts w:ascii="仿宋_GB2312" w:eastAsia="仿宋_GB2312"/>
          <w:color w:val="000000"/>
          <w:sz w:val="32"/>
          <w:szCs w:val="32"/>
          <w:highlight w:val="none"/>
        </w:rPr>
        <w:t xml:space="preserve"> </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ascii="仿宋_GB2312" w:eastAsia="仿宋_GB2312"/>
          <w:color w:val="000000"/>
          <w:sz w:val="32"/>
          <w:szCs w:val="32"/>
          <w:highlight w:val="none"/>
        </w:rPr>
        <w:t>9.</w:t>
      </w:r>
      <w:r>
        <w:rPr>
          <w:rFonts w:hint="eastAsia" w:ascii="仿宋_GB2312" w:eastAsia="仿宋_GB2312"/>
          <w:color w:val="000000"/>
          <w:sz w:val="32"/>
          <w:szCs w:val="32"/>
          <w:highlight w:val="none"/>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ascii="仿宋_GB2312" w:eastAsia="仿宋_GB2312"/>
          <w:sz w:val="32"/>
          <w:szCs w:val="32"/>
          <w:highlight w:val="none"/>
        </w:rPr>
        <w:t>0.</w:t>
      </w:r>
      <w:r>
        <w:rPr>
          <w:rFonts w:hint="eastAsia" w:ascii="仿宋_GB2312" w:eastAsia="仿宋_GB2312"/>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val="en-US" w:eastAsia="zh-CN"/>
        </w:rPr>
        <w:t>2</w:t>
      </w:r>
      <w:r>
        <w:rPr>
          <w:rFonts w:ascii="仿宋_GB2312" w:eastAsia="仿宋_GB2312"/>
          <w:sz w:val="32"/>
          <w:szCs w:val="32"/>
          <w:highlight w:val="none"/>
        </w:rPr>
        <w:t>1.</w:t>
      </w:r>
      <w:r>
        <w:rPr>
          <w:rFonts w:hint="eastAsia" w:ascii="仿宋_GB2312" w:eastAsia="仿宋_GB2312"/>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s="黑体"/>
          <w:sz w:val="32"/>
          <w:szCs w:val="32"/>
          <w:highlight w:val="none"/>
        </w:rPr>
      </w:pPr>
    </w:p>
    <w:p>
      <w:pPr>
        <w:pStyle w:val="26"/>
        <w:spacing w:line="560" w:lineRule="exact"/>
        <w:ind w:firstLine="640" w:firstLineChars="200"/>
        <w:rPr>
          <w:rFonts w:hint="eastAsia" w:ascii="仿宋_GB2312" w:eastAsia="仿宋_GB2312"/>
          <w:color w:val="auto"/>
          <w:sz w:val="32"/>
          <w:szCs w:val="32"/>
          <w:highlight w:val="none"/>
        </w:rPr>
      </w:pPr>
    </w:p>
    <w:p>
      <w:pPr>
        <w:pStyle w:val="26"/>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bookmarkStart w:id="82" w:name="_Toc24110"/>
      <w:bookmarkStart w:id="83" w:name="_Toc15396614"/>
      <w:bookmarkStart w:id="84"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8"/>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82"/>
      <w:bookmarkEnd w:id="83"/>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方正小标宋简体" w:hAnsi="方正小标宋简体" w:eastAsia="黑体" w:cs="方正小标宋简体"/>
          <w:color w:val="auto"/>
          <w:sz w:val="44"/>
          <w:szCs w:val="44"/>
          <w:highlight w:val="none"/>
          <w:lang w:val="en-US" w:eastAsia="zh-CN"/>
        </w:rPr>
      </w:pPr>
      <w:bookmarkStart w:id="85" w:name="_Toc17059"/>
      <w:r>
        <w:rPr>
          <w:rFonts w:hint="eastAsia" w:ascii="黑体" w:hAnsi="黑体" w:eastAsia="黑体" w:cs="黑体"/>
          <w:color w:val="auto"/>
          <w:sz w:val="32"/>
          <w:szCs w:val="32"/>
          <w:highlight w:val="none"/>
        </w:rPr>
        <w:t>附件</w:t>
      </w:r>
      <w:bookmarkEnd w:id="85"/>
      <w:r>
        <w:rPr>
          <w:rFonts w:hint="eastAsia" w:ascii="黑体" w:hAnsi="黑体" w:eastAsia="黑体" w:cs="黑体"/>
          <w:color w:val="auto"/>
          <w:sz w:val="32"/>
          <w:szCs w:val="32"/>
          <w:highlight w:val="none"/>
          <w:lang w:val="en-US" w:eastAsia="zh-CN"/>
        </w:rPr>
        <w:t>1</w:t>
      </w:r>
    </w:p>
    <w:p>
      <w:pPr>
        <w:keepNext w:val="0"/>
        <w:keepLines w:val="0"/>
        <w:pageBreakBefore w:val="0"/>
        <w:kinsoku/>
        <w:wordWrap/>
        <w:overflowPunct/>
        <w:topLinePunct w:val="0"/>
        <w:autoSpaceDE/>
        <w:autoSpaceDN/>
        <w:bidi w:val="0"/>
        <w:spacing w:line="572" w:lineRule="exact"/>
        <w:jc w:val="center"/>
        <w:textAlignment w:val="auto"/>
        <w:rPr>
          <w:rFonts w:ascii="仿宋_GB2312" w:hAnsi="宋体" w:eastAsia="仿宋_GB2312"/>
          <w:color w:val="auto"/>
          <w:sz w:val="32"/>
          <w:szCs w:val="32"/>
          <w:highlight w:val="none"/>
          <w:shd w:val="clear" w:color="auto" w:fill="FFFFFF"/>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公安局</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lang w:val="zh-CN"/>
        </w:rPr>
      </w:pPr>
      <w:bookmarkStart w:id="86" w:name="_Toc25130"/>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bookmarkEnd w:id="86"/>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7"/>
        <w:keepNext w:val="0"/>
        <w:keepLines w:val="0"/>
        <w:pageBreakBefore w:val="0"/>
        <w:kinsoku/>
        <w:overflowPunct/>
        <w:topLinePunct w:val="0"/>
        <w:autoSpaceDE/>
        <w:autoSpaceDN/>
        <w:bidi w:val="0"/>
        <w:adjustRightInd w:val="0"/>
        <w:snapToGrid w:val="0"/>
        <w:spacing w:before="72" w:line="560" w:lineRule="atLeast"/>
        <w:ind w:firstLine="624" w:firstLineChars="200"/>
        <w:textAlignment w:val="auto"/>
        <w:rPr>
          <w:lang w:val="zh-CN"/>
        </w:rPr>
      </w:pPr>
      <w:r>
        <w:rPr>
          <w:rFonts w:hint="eastAsia" w:ascii="仿宋" w:hAnsi="仿宋" w:eastAsia="仿宋" w:cs="仿宋"/>
          <w:spacing w:val="-4"/>
          <w:kern w:val="0"/>
          <w:sz w:val="32"/>
          <w:szCs w:val="32"/>
        </w:rPr>
        <w:t>平昌县公安局</w:t>
      </w:r>
      <w:r>
        <w:rPr>
          <w:rFonts w:hint="eastAsia" w:ascii="仿宋" w:hAnsi="仿宋" w:eastAsia="仿宋" w:cs="仿宋"/>
          <w:spacing w:val="-4"/>
          <w:kern w:val="0"/>
          <w:sz w:val="32"/>
          <w:szCs w:val="32"/>
          <w:lang w:eastAsia="zh-CN"/>
        </w:rPr>
        <w:t>属</w:t>
      </w:r>
      <w:r>
        <w:rPr>
          <w:rFonts w:hint="eastAsia" w:ascii="仿宋" w:hAnsi="仿宋" w:eastAsia="仿宋" w:cs="仿宋"/>
          <w:spacing w:val="-4"/>
          <w:kern w:val="0"/>
          <w:sz w:val="32"/>
          <w:szCs w:val="32"/>
        </w:rPr>
        <w:t>管理行政机关，</w:t>
      </w:r>
      <w:r>
        <w:rPr>
          <w:rFonts w:hint="eastAsia" w:ascii="仿宋" w:hAnsi="仿宋" w:eastAsia="仿宋" w:cs="仿宋"/>
          <w:color w:val="auto"/>
          <w:kern w:val="2"/>
          <w:sz w:val="32"/>
          <w:szCs w:val="32"/>
        </w:rPr>
        <w:t>下属两</w:t>
      </w:r>
      <w:r>
        <w:rPr>
          <w:rFonts w:hint="eastAsia" w:ascii="仿宋" w:hAnsi="仿宋" w:eastAsia="仿宋" w:cs="仿宋"/>
          <w:color w:val="auto"/>
          <w:kern w:val="2"/>
          <w:sz w:val="32"/>
          <w:szCs w:val="32"/>
          <w:lang w:eastAsia="zh-CN"/>
        </w:rPr>
        <w:t>个一级</w:t>
      </w:r>
      <w:r>
        <w:rPr>
          <w:rFonts w:hint="eastAsia" w:ascii="仿宋" w:hAnsi="仿宋" w:eastAsia="仿宋" w:cs="仿宋"/>
          <w:color w:val="auto"/>
          <w:kern w:val="2"/>
          <w:sz w:val="32"/>
          <w:szCs w:val="32"/>
        </w:rPr>
        <w:t>预算单位：平昌县</w:t>
      </w:r>
      <w:r>
        <w:rPr>
          <w:rFonts w:hint="eastAsia" w:ascii="仿宋" w:hAnsi="仿宋" w:eastAsia="仿宋" w:cs="仿宋"/>
          <w:color w:val="auto"/>
          <w:kern w:val="2"/>
          <w:sz w:val="32"/>
          <w:szCs w:val="32"/>
          <w:lang w:eastAsia="zh-CN"/>
        </w:rPr>
        <w:t>看守所、平昌县公安局交通管理大队</w:t>
      </w:r>
      <w:r>
        <w:rPr>
          <w:rFonts w:hint="eastAsia" w:ascii="仿宋" w:hAnsi="仿宋" w:eastAsia="仿宋" w:cs="仿宋"/>
          <w:color w:val="auto"/>
          <w:kern w:val="2"/>
          <w:sz w:val="32"/>
          <w:szCs w:val="32"/>
        </w:rPr>
        <w:t>，</w:t>
      </w:r>
      <w:r>
        <w:rPr>
          <w:rFonts w:hint="eastAsia" w:ascii="仿宋" w:hAnsi="仿宋" w:eastAsia="仿宋" w:cs="仿宋"/>
          <w:color w:val="auto"/>
          <w:kern w:val="2"/>
          <w:sz w:val="32"/>
          <w:szCs w:val="32"/>
          <w:lang w:eastAsia="zh-CN"/>
        </w:rPr>
        <w:t>都属于</w:t>
      </w:r>
      <w:r>
        <w:rPr>
          <w:rFonts w:hint="eastAsia" w:ascii="仿宋" w:hAnsi="仿宋" w:eastAsia="仿宋" w:cs="仿宋"/>
          <w:color w:val="auto"/>
        </w:rPr>
        <w:t>行政单位</w:t>
      </w:r>
      <w:r>
        <w:rPr>
          <w:rFonts w:hint="eastAsia" w:ascii="仿宋" w:hAnsi="仿宋" w:eastAsia="仿宋" w:cs="仿宋"/>
          <w:color w:val="auto"/>
          <w:kern w:val="2"/>
          <w:sz w:val="32"/>
          <w:szCs w:val="32"/>
        </w:rPr>
        <w:t>。</w:t>
      </w:r>
      <w:r>
        <w:rPr>
          <w:rFonts w:hint="eastAsia" w:ascii="仿宋" w:hAnsi="仿宋" w:eastAsia="仿宋" w:cs="仿宋"/>
          <w:spacing w:val="-4"/>
          <w:kern w:val="0"/>
          <w:sz w:val="32"/>
          <w:szCs w:val="32"/>
        </w:rPr>
        <w:t>内设股室</w:t>
      </w:r>
      <w:r>
        <w:rPr>
          <w:rFonts w:hint="eastAsia" w:ascii="仿宋" w:hAnsi="仿宋" w:eastAsia="仿宋" w:cs="仿宋"/>
          <w:spacing w:val="-4"/>
          <w:kern w:val="0"/>
          <w:sz w:val="32"/>
          <w:szCs w:val="32"/>
          <w:lang w:val="en-US" w:eastAsia="zh-CN"/>
        </w:rPr>
        <w:t>18</w:t>
      </w:r>
      <w:r>
        <w:rPr>
          <w:rFonts w:hint="eastAsia" w:ascii="仿宋" w:hAnsi="仿宋" w:eastAsia="仿宋" w:cs="仿宋"/>
          <w:spacing w:val="-4"/>
          <w:kern w:val="0"/>
          <w:sz w:val="32"/>
          <w:szCs w:val="32"/>
        </w:rPr>
        <w:t>个（</w:t>
      </w:r>
      <w:r>
        <w:rPr>
          <w:rFonts w:hint="eastAsia" w:ascii="仿宋" w:hAnsi="仿宋" w:eastAsia="仿宋" w:cs="仿宋"/>
          <w:color w:val="000000"/>
          <w:sz w:val="32"/>
          <w:szCs w:val="32"/>
        </w:rPr>
        <w:t>指挥中心、政</w:t>
      </w:r>
      <w:r>
        <w:rPr>
          <w:rFonts w:hint="eastAsia" w:ascii="仿宋" w:hAnsi="仿宋" w:eastAsia="仿宋" w:cs="仿宋"/>
          <w:color w:val="000000"/>
          <w:sz w:val="32"/>
          <w:szCs w:val="32"/>
          <w:lang w:eastAsia="zh-CN"/>
        </w:rPr>
        <w:t>治处</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机关党委、机关纪委、</w:t>
      </w:r>
      <w:r>
        <w:rPr>
          <w:rFonts w:hint="eastAsia" w:ascii="仿宋" w:hAnsi="仿宋" w:eastAsia="仿宋" w:cs="仿宋"/>
          <w:color w:val="000000"/>
          <w:sz w:val="32"/>
          <w:szCs w:val="32"/>
        </w:rPr>
        <w:t>警务保障室、法制</w:t>
      </w:r>
      <w:r>
        <w:rPr>
          <w:rFonts w:hint="eastAsia" w:ascii="仿宋" w:hAnsi="仿宋" w:eastAsia="仿宋" w:cs="仿宋"/>
          <w:color w:val="000000"/>
          <w:sz w:val="32"/>
          <w:szCs w:val="32"/>
          <w:lang w:eastAsia="zh-CN"/>
        </w:rPr>
        <w:t>大队</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政保大队、经侦大队、治安大队、刑侦大队、巡特警大队、</w:t>
      </w:r>
      <w:r>
        <w:rPr>
          <w:rFonts w:hint="eastAsia" w:ascii="仿宋" w:hAnsi="仿宋" w:eastAsia="仿宋" w:cs="仿宋"/>
          <w:color w:val="000000"/>
          <w:sz w:val="32"/>
          <w:szCs w:val="32"/>
        </w:rPr>
        <w:t>禁毒大队、</w:t>
      </w:r>
      <w:r>
        <w:rPr>
          <w:rFonts w:hint="eastAsia" w:ascii="仿宋" w:hAnsi="仿宋" w:eastAsia="仿宋" w:cs="仿宋"/>
          <w:color w:val="000000"/>
          <w:sz w:val="32"/>
          <w:szCs w:val="32"/>
          <w:lang w:eastAsia="zh-CN"/>
        </w:rPr>
        <w:t>森林警察大队、食药环侦大队、行政审批股、</w:t>
      </w:r>
      <w:r>
        <w:rPr>
          <w:rFonts w:hint="eastAsia" w:ascii="仿宋" w:hAnsi="仿宋" w:eastAsia="仿宋" w:cs="仿宋"/>
          <w:color w:val="000000"/>
          <w:sz w:val="32"/>
          <w:szCs w:val="32"/>
        </w:rPr>
        <w:t>出入境管理大队、</w:t>
      </w:r>
      <w:r>
        <w:rPr>
          <w:rFonts w:hint="eastAsia" w:ascii="仿宋" w:hAnsi="仿宋" w:eastAsia="仿宋" w:cs="仿宋"/>
          <w:color w:val="000000"/>
          <w:sz w:val="32"/>
          <w:szCs w:val="32"/>
          <w:lang w:eastAsia="zh-CN"/>
        </w:rPr>
        <w:t>拘留所、网安大队</w:t>
      </w:r>
      <w:r>
        <w:rPr>
          <w:rFonts w:hint="eastAsia" w:ascii="仿宋" w:hAnsi="仿宋" w:eastAsia="仿宋" w:cs="仿宋"/>
          <w:spacing w:val="-4"/>
          <w:kern w:val="0"/>
          <w:sz w:val="32"/>
          <w:szCs w:val="32"/>
        </w:rPr>
        <w:t>)和</w:t>
      </w:r>
      <w:r>
        <w:rPr>
          <w:rFonts w:hint="eastAsia" w:ascii="仿宋" w:hAnsi="仿宋" w:eastAsia="仿宋" w:cs="仿宋"/>
          <w:spacing w:val="-4"/>
          <w:kern w:val="0"/>
          <w:sz w:val="32"/>
          <w:szCs w:val="32"/>
          <w:lang w:val="en-US" w:eastAsia="zh-CN"/>
        </w:rPr>
        <w:t>15个</w:t>
      </w:r>
      <w:r>
        <w:rPr>
          <w:rFonts w:hint="eastAsia" w:ascii="仿宋" w:hAnsi="仿宋" w:eastAsia="仿宋" w:cs="仿宋"/>
          <w:spacing w:val="-4"/>
          <w:kern w:val="0"/>
          <w:sz w:val="32"/>
          <w:szCs w:val="32"/>
        </w:rPr>
        <w:t>乡镇派出所。</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pStyle w:val="7"/>
        <w:keepNext w:val="0"/>
        <w:keepLines w:val="0"/>
        <w:pageBreakBefore w:val="0"/>
        <w:numPr>
          <w:ilvl w:val="0"/>
          <w:numId w:val="0"/>
        </w:numPr>
        <w:kinsoku/>
        <w:overflowPunct/>
        <w:topLinePunct w:val="0"/>
        <w:autoSpaceDE/>
        <w:autoSpaceDN/>
        <w:bidi w:val="0"/>
        <w:adjustRightInd w:val="0"/>
        <w:snapToGrid w:val="0"/>
        <w:spacing w:before="72" w:line="560" w:lineRule="atLeast"/>
        <w:ind w:firstLine="640" w:firstLineChars="200"/>
        <w:jc w:val="left"/>
        <w:textAlignment w:val="auto"/>
        <w:rPr>
          <w:lang w:val="zh-CN"/>
        </w:rPr>
      </w:pP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预防、制止和侦察违法犯罪活动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负责预防、发现、制止、打击危害国家安全的违法犯罪行为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负责宗教、民族事务的安全保卫工作</w:t>
      </w: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维护社会治安秩序，制止危害社会治安秩序的行为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维护交通安全和交通秩序，处理交通事故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6</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组织、实施消防工作，实行消防监督</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7</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管理枪支弹药、管理刀具和易燃易爆、剧毒、放射性等危险物品</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8</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负责全县禁毒、缉毒工作，承办县禁委员会的日常工作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对法律、法规规定的特种行业进行管理</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10</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警卫国家规定范围的特定人员，负责重要的场所和设施的安全保卫工作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管理集会、游行、示威活动</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12</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管理户政、出入境等有关事务</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13</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对被判处管制、拘役、剥夺政治权利的罪犯和监外执行的罪犯执行刑罚，对被宣告缓刑、假释的罪犯实行监督、考察</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14</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监督管理计算机信息系统的安全保护工作</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15</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333333"/>
          <w:sz w:val="32"/>
          <w:szCs w:val="32"/>
          <w:shd w:val="clear" w:color="auto" w:fill="FFFFFF"/>
        </w:rPr>
        <w:t>指导和监督国家机关、社会团体</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rPr>
        <w:t>企业事业组织和重点建设工程的治安保卫工作，指导乡镇和农村、街道治安保卫委员会等群众性组织做好治安防范工作</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b w:val="0"/>
          <w:bCs w:val="0"/>
          <w:color w:val="333333"/>
          <w:sz w:val="32"/>
          <w:szCs w:val="32"/>
          <w:shd w:val="clear" w:color="auto" w:fill="FFFFFF"/>
          <w:lang w:val="en-US" w:eastAsia="zh-CN"/>
        </w:rPr>
        <w:t>16</w:t>
      </w:r>
      <w:r>
        <w:rPr>
          <w:rFonts w:hint="eastAsia" w:ascii="仿宋" w:hAnsi="仿宋" w:eastAsia="仿宋" w:cs="仿宋"/>
          <w:b w:val="0"/>
          <w:bCs w:val="0"/>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收集、掌握影响稳定的情报信息，维护稳定</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17</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组织实施全局公安队伍革命化、正规化、职业化建设及公安民警教育训练，做好公安信息宣传工作</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18</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履行法律、法规规定的其他职责</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19</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sz w:val="32"/>
          <w:szCs w:val="32"/>
          <w:shd w:val="clear" w:color="auto" w:fill="FFFFFF"/>
        </w:rPr>
        <w:t>承办县政府交办的其他事项。</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p>
    <w:p>
      <w:pPr>
        <w:pStyle w:val="2"/>
        <w:ind w:firstLine="640" w:firstLineChars="200"/>
        <w:rPr>
          <w:lang w:val="zh-CN"/>
        </w:rPr>
      </w:pPr>
      <w:r>
        <w:rPr>
          <w:rFonts w:hint="eastAsia" w:ascii="仿宋" w:hAnsi="仿宋" w:eastAsia="仿宋" w:cs="仿宋"/>
          <w:color w:val="000000"/>
          <w:sz w:val="32"/>
          <w:szCs w:val="32"/>
        </w:rPr>
        <w:t>县机构编制委员会批复编制</w:t>
      </w:r>
      <w:r>
        <w:rPr>
          <w:rFonts w:hint="eastAsia" w:ascii="仿宋" w:hAnsi="仿宋" w:eastAsia="仿宋" w:cs="仿宋"/>
          <w:sz w:val="32"/>
          <w:szCs w:val="32"/>
        </w:rPr>
        <w:t>单位编制情况：专项行政编</w:t>
      </w:r>
      <w:r>
        <w:rPr>
          <w:rFonts w:hint="eastAsia" w:ascii="仿宋" w:hAnsi="仿宋" w:eastAsia="仿宋" w:cs="仿宋"/>
          <w:sz w:val="32"/>
          <w:szCs w:val="32"/>
          <w:lang w:val="en-US" w:eastAsia="zh-CN"/>
        </w:rPr>
        <w:t>393</w:t>
      </w:r>
      <w:r>
        <w:rPr>
          <w:rFonts w:hint="eastAsia" w:ascii="仿宋" w:hAnsi="仿宋" w:eastAsia="仿宋" w:cs="仿宋"/>
          <w:sz w:val="32"/>
          <w:szCs w:val="32"/>
        </w:rPr>
        <w:t>名，事业编</w:t>
      </w:r>
      <w:r>
        <w:rPr>
          <w:rFonts w:hint="eastAsia" w:ascii="仿宋" w:hAnsi="仿宋" w:eastAsia="仿宋" w:cs="仿宋"/>
          <w:sz w:val="32"/>
          <w:szCs w:val="32"/>
          <w:lang w:val="en-US" w:eastAsia="zh-CN"/>
        </w:rPr>
        <w:t>18</w:t>
      </w:r>
      <w:r>
        <w:rPr>
          <w:rFonts w:hint="eastAsia" w:ascii="仿宋" w:hAnsi="仿宋" w:eastAsia="仿宋" w:cs="仿宋"/>
          <w:sz w:val="32"/>
          <w:szCs w:val="32"/>
        </w:rPr>
        <w:t>名，工勤编</w:t>
      </w:r>
      <w:r>
        <w:rPr>
          <w:rFonts w:hint="eastAsia" w:ascii="仿宋" w:hAnsi="仿宋" w:eastAsia="仿宋" w:cs="仿宋"/>
          <w:sz w:val="32"/>
          <w:szCs w:val="32"/>
          <w:lang w:val="en-US" w:eastAsia="zh-CN"/>
        </w:rPr>
        <w:t>43</w:t>
      </w:r>
      <w:r>
        <w:rPr>
          <w:rFonts w:hint="eastAsia" w:ascii="仿宋" w:hAnsi="仿宋" w:eastAsia="仿宋" w:cs="仿宋"/>
          <w:sz w:val="32"/>
          <w:szCs w:val="32"/>
        </w:rPr>
        <w:t>名。截止20</w:t>
      </w:r>
      <w:r>
        <w:rPr>
          <w:rFonts w:hint="eastAsia" w:ascii="仿宋" w:hAnsi="仿宋" w:eastAsia="仿宋" w:cs="仿宋"/>
          <w:sz w:val="32"/>
          <w:szCs w:val="32"/>
          <w:lang w:val="en-US" w:eastAsia="zh-CN"/>
        </w:rPr>
        <w:t>21</w:t>
      </w:r>
      <w:r>
        <w:rPr>
          <w:rFonts w:hint="eastAsia" w:ascii="仿宋" w:hAnsi="仿宋" w:eastAsia="仿宋" w:cs="仿宋"/>
          <w:sz w:val="32"/>
          <w:szCs w:val="32"/>
        </w:rPr>
        <w:t>年12月31日单位实有人员</w:t>
      </w:r>
      <w:r>
        <w:rPr>
          <w:rFonts w:hint="eastAsia" w:ascii="仿宋" w:hAnsi="仿宋" w:eastAsia="仿宋" w:cs="仿宋"/>
          <w:sz w:val="32"/>
          <w:szCs w:val="32"/>
          <w:lang w:val="en-US" w:eastAsia="zh-CN"/>
        </w:rPr>
        <w:t>1006</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363</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17</w:t>
      </w:r>
      <w:r>
        <w:rPr>
          <w:rFonts w:hint="eastAsia" w:ascii="仿宋" w:hAnsi="仿宋" w:eastAsia="仿宋" w:cs="仿宋"/>
          <w:sz w:val="32"/>
          <w:szCs w:val="32"/>
        </w:rPr>
        <w:t>人，工勤编制</w:t>
      </w:r>
      <w:r>
        <w:rPr>
          <w:rFonts w:hint="eastAsia" w:ascii="仿宋" w:hAnsi="仿宋" w:eastAsia="仿宋" w:cs="仿宋"/>
          <w:sz w:val="32"/>
          <w:szCs w:val="32"/>
          <w:lang w:val="en-US" w:eastAsia="zh-CN"/>
        </w:rPr>
        <w:t>30</w:t>
      </w:r>
      <w:r>
        <w:rPr>
          <w:rFonts w:hint="eastAsia" w:ascii="仿宋" w:hAnsi="仿宋" w:eastAsia="仿宋" w:cs="仿宋"/>
          <w:sz w:val="32"/>
          <w:szCs w:val="32"/>
        </w:rPr>
        <w:t>人，警务辅助人员</w:t>
      </w:r>
      <w:r>
        <w:rPr>
          <w:rFonts w:hint="eastAsia" w:ascii="仿宋" w:hAnsi="仿宋" w:eastAsia="仿宋" w:cs="仿宋"/>
          <w:sz w:val="32"/>
          <w:szCs w:val="32"/>
          <w:lang w:val="en-US" w:eastAsia="zh-CN"/>
        </w:rPr>
        <w:t>448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退休</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120</w:t>
      </w:r>
      <w:r>
        <w:rPr>
          <w:rFonts w:hint="eastAsia" w:ascii="仿宋" w:hAnsi="仿宋" w:eastAsia="仿宋" w:cs="仿宋"/>
          <w:sz w:val="32"/>
          <w:szCs w:val="32"/>
        </w:rPr>
        <w:t>人，抚育抚养</w:t>
      </w:r>
      <w:r>
        <w:rPr>
          <w:rFonts w:hint="eastAsia" w:ascii="仿宋" w:hAnsi="仿宋" w:eastAsia="仿宋" w:cs="仿宋"/>
          <w:sz w:val="32"/>
          <w:szCs w:val="32"/>
          <w:lang w:val="en-US" w:eastAsia="zh-CN"/>
        </w:rPr>
        <w:t>28</w:t>
      </w:r>
      <w:r>
        <w:rPr>
          <w:rFonts w:hint="eastAsia" w:ascii="仿宋" w:hAnsi="仿宋" w:eastAsia="仿宋" w:cs="仿宋"/>
          <w:sz w:val="32"/>
          <w:szCs w:val="32"/>
        </w:rPr>
        <w:t>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87" w:name="_Toc15566"/>
      <w:r>
        <w:rPr>
          <w:rFonts w:hint="eastAsia" w:ascii="黑体" w:hAnsi="宋体" w:eastAsia="黑体" w:cs="宋体"/>
          <w:color w:val="auto"/>
          <w:kern w:val="0"/>
          <w:sz w:val="32"/>
          <w:szCs w:val="32"/>
          <w:highlight w:val="none"/>
          <w:shd w:val="clear" w:color="auto" w:fill="FFFFFF"/>
        </w:rPr>
        <w:t>二、部门财政资金收支情况</w:t>
      </w:r>
      <w:bookmarkEnd w:id="87"/>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pStyle w:val="2"/>
        <w:ind w:firstLine="640" w:firstLineChars="200"/>
        <w:rPr>
          <w:lang w:val="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公安局</w:t>
      </w:r>
      <w:r>
        <w:rPr>
          <w:rFonts w:hint="eastAsia" w:ascii="仿宋" w:hAnsi="仿宋" w:eastAsia="仿宋"/>
          <w:sz w:val="32"/>
          <w:szCs w:val="32"/>
        </w:rPr>
        <w:t>预算收入安排</w:t>
      </w:r>
      <w:r>
        <w:rPr>
          <w:rFonts w:hint="eastAsia" w:ascii="仿宋" w:hAnsi="仿宋" w:eastAsia="仿宋"/>
          <w:sz w:val="32"/>
          <w:szCs w:val="32"/>
          <w:lang w:val="en-US" w:eastAsia="zh-CN"/>
        </w:rPr>
        <w:t>10157</w:t>
      </w:r>
      <w:r>
        <w:rPr>
          <w:rFonts w:hint="eastAsia" w:ascii="仿宋" w:hAnsi="仿宋" w:eastAsia="仿宋"/>
          <w:sz w:val="32"/>
          <w:szCs w:val="32"/>
        </w:rPr>
        <w:t>万元,年度预算执行中调整预算</w:t>
      </w:r>
      <w:r>
        <w:rPr>
          <w:rFonts w:hint="eastAsia" w:ascii="仿宋" w:hAnsi="仿宋" w:eastAsia="仿宋"/>
          <w:sz w:val="32"/>
          <w:szCs w:val="32"/>
          <w:lang w:val="en-US" w:eastAsia="zh-CN"/>
        </w:rPr>
        <w:t>5002</w:t>
      </w:r>
      <w:r>
        <w:rPr>
          <w:rFonts w:hint="eastAsia" w:ascii="仿宋" w:hAnsi="仿宋" w:eastAsia="仿宋"/>
          <w:sz w:val="32"/>
          <w:szCs w:val="32"/>
        </w:rPr>
        <w:t>万元,</w:t>
      </w:r>
      <w:r>
        <w:rPr>
          <w:rFonts w:hint="eastAsia" w:ascii="仿宋" w:hAnsi="仿宋" w:eastAsia="仿宋"/>
          <w:sz w:val="32"/>
          <w:szCs w:val="32"/>
          <w:lang w:eastAsia="zh-CN"/>
        </w:rPr>
        <w:t>主要</w:t>
      </w:r>
      <w:r>
        <w:rPr>
          <w:rFonts w:hint="eastAsia" w:ascii="仿宋" w:hAnsi="仿宋" w:eastAsia="仿宋"/>
          <w:sz w:val="32"/>
          <w:szCs w:val="32"/>
        </w:rPr>
        <w:t>用于人员工资、津贴正常晋升和增加</w:t>
      </w:r>
      <w:r>
        <w:rPr>
          <w:rFonts w:hint="eastAsia" w:ascii="仿宋" w:hAnsi="仿宋" w:eastAsia="仿宋"/>
          <w:sz w:val="32"/>
          <w:szCs w:val="32"/>
          <w:lang w:eastAsia="zh-CN"/>
        </w:rPr>
        <w:t>、绩效、</w:t>
      </w:r>
      <w:r>
        <w:rPr>
          <w:rFonts w:hint="eastAsia" w:ascii="仿宋" w:hAnsi="仿宋" w:eastAsia="仿宋"/>
          <w:sz w:val="32"/>
          <w:szCs w:val="32"/>
        </w:rPr>
        <w:t>机关事业单位基本养老保险缴费。</w:t>
      </w:r>
    </w:p>
    <w:p>
      <w:pPr>
        <w:keepNext w:val="0"/>
        <w:keepLines w:val="0"/>
        <w:pageBreakBefore w:val="0"/>
        <w:widowControl/>
        <w:numPr>
          <w:ilvl w:val="0"/>
          <w:numId w:val="5"/>
        </w:numPr>
        <w:kinsoku/>
        <w:wordWrap/>
        <w:overflowPunct/>
        <w:topLinePunct w:val="0"/>
        <w:autoSpaceDE/>
        <w:autoSpaceDN/>
        <w:bidi w:val="0"/>
        <w:adjustRightInd w:val="0"/>
        <w:snapToGrid w:val="0"/>
        <w:spacing w:line="572"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pStyle w:val="2"/>
        <w:numPr>
          <w:ilvl w:val="0"/>
          <w:numId w:val="0"/>
        </w:numPr>
        <w:ind w:leftChars="200"/>
        <w:rPr>
          <w:lang w:val="zh-CN"/>
        </w:rPr>
      </w:pP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方正楷体_GBK" w:hAnsi="仿宋" w:eastAsia="方正楷体_GBK" w:cs="宋体"/>
          <w:color w:val="000000"/>
          <w:szCs w:val="32"/>
          <w:shd w:val="clear" w:color="auto" w:fill="FFFFFF"/>
          <w:lang w:val="zh-CN"/>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年度我局全年完成实际支出</w:t>
      </w:r>
      <w:r>
        <w:rPr>
          <w:rFonts w:hint="eastAsia" w:ascii="仿宋" w:hAnsi="仿宋" w:eastAsia="仿宋" w:cs="仿宋"/>
          <w:sz w:val="32"/>
          <w:szCs w:val="32"/>
          <w:lang w:val="en-US" w:eastAsia="zh-CN"/>
        </w:rPr>
        <w:t>15159</w:t>
      </w:r>
      <w:r>
        <w:rPr>
          <w:rFonts w:hint="eastAsia" w:ascii="仿宋" w:hAnsi="仿宋" w:eastAsia="仿宋" w:cs="仿宋"/>
          <w:sz w:val="32"/>
          <w:szCs w:val="32"/>
        </w:rPr>
        <w:t>万元，其中人员经费</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9265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公用经费</w:t>
      </w:r>
      <w:r>
        <w:rPr>
          <w:rFonts w:hint="eastAsia" w:ascii="仿宋" w:hAnsi="仿宋" w:eastAsia="仿宋" w:cs="仿宋"/>
          <w:color w:val="000000"/>
          <w:sz w:val="32"/>
          <w:szCs w:val="32"/>
          <w:lang w:val="en-US" w:eastAsia="zh-CN"/>
        </w:rPr>
        <w:t>1535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项目支出</w:t>
      </w:r>
      <w:r>
        <w:rPr>
          <w:rFonts w:hint="eastAsia" w:ascii="仿宋" w:hAnsi="仿宋" w:eastAsia="仿宋" w:cs="仿宋"/>
          <w:color w:val="000000"/>
          <w:sz w:val="32"/>
          <w:szCs w:val="32"/>
          <w:lang w:val="en-US" w:eastAsia="zh-CN"/>
        </w:rPr>
        <w:t>4359</w:t>
      </w:r>
      <w:r>
        <w:rPr>
          <w:rFonts w:hint="eastAsia" w:ascii="仿宋" w:hAnsi="仿宋" w:eastAsia="仿宋" w:cs="仿宋"/>
          <w:color w:val="000000"/>
          <w:sz w:val="32"/>
          <w:szCs w:val="32"/>
        </w:rPr>
        <w:t>万元。</w:t>
      </w:r>
    </w:p>
    <w:p>
      <w:pPr>
        <w:rPr>
          <w:lang w:val="zh-CN"/>
        </w:rPr>
      </w:pPr>
    </w:p>
    <w:p>
      <w:pPr>
        <w:keepNext w:val="0"/>
        <w:keepLines w:val="0"/>
        <w:pageBreakBefore w:val="0"/>
        <w:widowControl/>
        <w:numPr>
          <w:ilvl w:val="0"/>
          <w:numId w:val="2"/>
        </w:numPr>
        <w:kinsoku/>
        <w:wordWrap/>
        <w:overflowPunct/>
        <w:topLinePunct w:val="0"/>
        <w:autoSpaceDE/>
        <w:autoSpaceDN/>
        <w:bidi w:val="0"/>
        <w:adjustRightInd w:val="0"/>
        <w:snapToGrid w:val="0"/>
        <w:spacing w:line="572" w:lineRule="exact"/>
        <w:ind w:left="1360"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6"/>
        </w:numPr>
        <w:kinsoku/>
        <w:wordWrap/>
        <w:overflowPunct/>
        <w:topLinePunct w:val="0"/>
        <w:autoSpaceDE/>
        <w:autoSpaceDN/>
        <w:bidi w:val="0"/>
        <w:adjustRightInd w:val="0"/>
        <w:snapToGrid w:val="0"/>
        <w:spacing w:line="572" w:lineRule="exact"/>
        <w:ind w:left="640" w:leftChars="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部门预算项目绩效管理。</w:t>
      </w:r>
    </w:p>
    <w:p>
      <w:pPr>
        <w:pStyle w:val="2"/>
        <w:numPr>
          <w:ilvl w:val="0"/>
          <w:numId w:val="0"/>
        </w:numPr>
        <w:ind w:firstLine="640" w:firstLineChars="200"/>
        <w:rPr>
          <w:rFonts w:ascii="仿宋_GB2312" w:hAnsi="宋体" w:eastAsia="仿宋_GB2312" w:cs="宋体"/>
          <w:color w:val="auto"/>
          <w:kern w:val="0"/>
          <w:sz w:val="32"/>
          <w:szCs w:val="32"/>
          <w:highlight w:val="none"/>
          <w:shd w:val="clear" w:color="auto" w:fill="FFFFFF"/>
          <w:lang w:val="zh-CN"/>
        </w:rPr>
      </w:pPr>
      <w:r>
        <w:rPr>
          <w:rFonts w:hint="eastAsia" w:ascii="仿宋" w:hAnsi="仿宋" w:eastAsia="仿宋" w:cs="仿宋"/>
          <w:i w:val="0"/>
          <w:iCs w:val="0"/>
          <w:caps w:val="0"/>
          <w:color w:val="232323"/>
          <w:spacing w:val="0"/>
          <w:sz w:val="32"/>
          <w:szCs w:val="32"/>
          <w:lang w:val="zh-CN"/>
        </w:rPr>
        <w:t>公安局预算编制科学性、合理性，绩效目标填报完整性和可行性、绩效目标过程监控的规范性和长效性、绩效评价的客观性和公正性，</w:t>
      </w:r>
      <w:r>
        <w:rPr>
          <w:rFonts w:hint="eastAsia" w:ascii="仿宋" w:hAnsi="仿宋" w:eastAsia="仿宋" w:cs="仿宋"/>
          <w:i w:val="0"/>
          <w:iCs w:val="0"/>
          <w:caps w:val="0"/>
          <w:color w:val="232323"/>
          <w:spacing w:val="0"/>
          <w:sz w:val="32"/>
          <w:szCs w:val="32"/>
        </w:rPr>
        <w:t>这些措施较好地保证了财务开支和资金使用的合法合规、安全有效。公安经费全部按规定管理使用、保障公安工作日常正常运转，</w:t>
      </w:r>
      <w:r>
        <w:rPr>
          <w:rFonts w:hint="eastAsia" w:ascii="仿宋" w:hAnsi="仿宋" w:eastAsia="仿宋" w:cs="仿宋"/>
          <w:i w:val="0"/>
          <w:iCs w:val="0"/>
          <w:caps w:val="0"/>
          <w:color w:val="232323"/>
          <w:spacing w:val="0"/>
          <w:sz w:val="32"/>
          <w:szCs w:val="32"/>
          <w:shd w:val="clear" w:color="auto" w:fill="FFFFFF"/>
        </w:rPr>
        <w:t>确保各项公安工作任务顺利完成。</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atLeas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年，我局整体支出</w:t>
      </w:r>
      <w:r>
        <w:rPr>
          <w:rFonts w:hint="eastAsia" w:ascii="仿宋" w:hAnsi="仿宋" w:eastAsia="仿宋" w:cs="仿宋"/>
          <w:sz w:val="32"/>
          <w:szCs w:val="32"/>
          <w:lang w:val="en-US" w:eastAsia="zh-CN"/>
        </w:rPr>
        <w:t>15159</w:t>
      </w:r>
      <w:r>
        <w:rPr>
          <w:rFonts w:hint="eastAsia" w:ascii="仿宋" w:hAnsi="仿宋" w:eastAsia="仿宋" w:cs="仿宋"/>
          <w:sz w:val="32"/>
          <w:szCs w:val="32"/>
        </w:rPr>
        <w:t>万元，除维持局机关正常运转外，资金大部分投向基层一线，有力推动了全县公安工作。</w:t>
      </w:r>
      <w:r>
        <w:rPr>
          <w:rFonts w:hint="eastAsia" w:ascii="仿宋" w:hAnsi="仿宋" w:eastAsia="仿宋" w:cs="仿宋"/>
          <w:sz w:val="32"/>
          <w:szCs w:val="32"/>
          <w:lang w:val="en-US" w:eastAsia="zh-CN"/>
        </w:rPr>
        <w:t>全县公安机关在县委、县政府和市公安局党委的坚强领导下，认真贯彻落实中央政法工作会议和各级公安工作会议精神，紧紧围绕省公安厅“1357”发展战略，紧扣庆祝建党100周年安保维稳主线，以深入开展党史学习教育和政法队伍教育整顿为牵引，以扎实开展“护旗”系列专项行动为抓手，统筹做好新冠肺炎疫情防控和防风险、保安全、护稳定、抓改革、促发展各项工作，为全县经济社会发展和“十四五”开局起步营造了更加安全稳定、更可持续的政治社会环境。</w:t>
      </w:r>
    </w:p>
    <w:p>
      <w:pPr>
        <w:pStyle w:val="2"/>
        <w:keepNext w:val="0"/>
        <w:keepLines w:val="0"/>
        <w:pageBreakBefore w:val="0"/>
        <w:kinsoku/>
        <w:overflowPunct/>
        <w:topLinePunct w:val="0"/>
        <w:autoSpaceDE/>
        <w:autoSpaceDN/>
        <w:bidi w:val="0"/>
        <w:adjustRightInd/>
        <w:snapToGrid/>
        <w:spacing w:line="560" w:lineRule="atLeas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1、维护政治安全。</w:t>
      </w:r>
      <w:r>
        <w:rPr>
          <w:rFonts w:hint="eastAsia" w:ascii="仿宋" w:hAnsi="仿宋" w:eastAsia="仿宋" w:cs="仿宋"/>
          <w:sz w:val="32"/>
          <w:szCs w:val="32"/>
          <w:lang w:val="en-US" w:eastAsia="zh-CN"/>
        </w:rPr>
        <w:t>强化情报预警防控、强化隐蔽战线斗争、强化反恐暴处突。圆满完成建党100周年、十九届六中全会、白衣古镇彩灯节等220余场大型安保工作任务。</w:t>
      </w:r>
    </w:p>
    <w:p>
      <w:pPr>
        <w:keepNext w:val="0"/>
        <w:keepLines w:val="0"/>
        <w:pageBreakBefore w:val="0"/>
        <w:kinsoku/>
        <w:overflowPunct/>
        <w:topLinePunct w:val="0"/>
        <w:autoSpaceDE/>
        <w:autoSpaceDN/>
        <w:bidi w:val="0"/>
        <w:spacing w:line="560" w:lineRule="atLeast"/>
        <w:ind w:firstLine="643" w:firstLineChars="200"/>
        <w:textAlignment w:val="auto"/>
        <w:rPr>
          <w:rFonts w:hint="default" w:ascii="仿宋" w:hAnsi="仿宋" w:eastAsia="仿宋" w:cs="仿宋"/>
          <w:b w:val="0"/>
          <w:bCs w:val="0"/>
          <w:i w:val="0"/>
          <w:iCs w:val="0"/>
          <w:caps w:val="0"/>
          <w:color w:val="232323"/>
          <w:spacing w:val="0"/>
          <w:sz w:val="32"/>
          <w:szCs w:val="32"/>
          <w:lang w:val="en-US" w:eastAsia="zh-CN"/>
        </w:rPr>
      </w:pPr>
      <w:r>
        <w:rPr>
          <w:rFonts w:hint="eastAsia" w:ascii="仿宋" w:hAnsi="仿宋" w:eastAsia="仿宋" w:cs="仿宋"/>
          <w:b/>
          <w:bCs/>
          <w:sz w:val="32"/>
          <w:szCs w:val="32"/>
          <w:lang w:val="en-US" w:eastAsia="zh-CN"/>
        </w:rPr>
        <w:t>2、集中整治，严厉打击。</w:t>
      </w:r>
      <w:r>
        <w:rPr>
          <w:rFonts w:hint="eastAsia" w:ascii="仿宋" w:hAnsi="仿宋" w:eastAsia="仿宋" w:cs="仿宋"/>
          <w:sz w:val="32"/>
          <w:szCs w:val="32"/>
          <w:lang w:val="en-US" w:eastAsia="zh-CN"/>
        </w:rPr>
        <w:t>全力推进</w:t>
      </w:r>
      <w:r>
        <w:rPr>
          <w:rFonts w:hint="eastAsia" w:ascii="仿宋" w:hAnsi="仿宋" w:eastAsia="仿宋" w:cs="仿宋"/>
          <w:b w:val="0"/>
          <w:bCs w:val="0"/>
          <w:i w:val="0"/>
          <w:iCs w:val="0"/>
          <w:caps w:val="0"/>
          <w:color w:val="232323"/>
          <w:spacing w:val="0"/>
          <w:sz w:val="32"/>
          <w:szCs w:val="32"/>
        </w:rPr>
        <w:t>扫黑除恶，力抓涉毒犯罪，实现了无重大恶性案件、无重大安全事故、无重点群体进京上访的预期目标。</w:t>
      </w:r>
      <w:r>
        <w:rPr>
          <w:rFonts w:hint="eastAsia" w:ascii="仿宋" w:hAnsi="仿宋" w:eastAsia="仿宋" w:cs="仿宋"/>
          <w:b w:val="0"/>
          <w:bCs w:val="0"/>
          <w:i w:val="0"/>
          <w:iCs w:val="0"/>
          <w:caps w:val="0"/>
          <w:color w:val="232323"/>
          <w:spacing w:val="0"/>
          <w:sz w:val="32"/>
          <w:szCs w:val="32"/>
          <w:lang w:val="en-US" w:eastAsia="zh-CN"/>
        </w:rPr>
        <w:t>2021年立案刑事案件1237起，破600起，抓获犯罪嫌疑人1098人，刑事拘留430人，逮捕210人，取保候审457人，移送起诉653人，抓获上网逃犯189人；查处治安行政案件1654件，行政拘留397人。立案侦办纵容黑社会组织案1起，移送起诉1人；破恶势力集团案件2起，抓获90人；新增九类涉恶案件30件，刑拘141人，逮捕34人，移送起诉101人。侦破经济类案件38件，移送起诉43人，为群众挽回经济损失700余万元，及时止损3000余万元。破获涉林、非法狩猎案、非法捕捞水产品案41件，抓获36人，移送起诉28人，挽回经济损失41万元。查处涉黄、涉赌案件61件，打击处理280人,破获涉毒案件6件，移送起诉12人，缴获冰毒、K粉等毒品148余克，铲除罂粟苗192株。</w:t>
      </w:r>
    </w:p>
    <w:p>
      <w:pPr>
        <w:pStyle w:val="2"/>
        <w:keepNext w:val="0"/>
        <w:keepLines w:val="0"/>
        <w:pageBreakBefore w:val="0"/>
        <w:kinsoku/>
        <w:overflowPunct/>
        <w:topLinePunct w:val="0"/>
        <w:autoSpaceDE/>
        <w:autoSpaceDN/>
        <w:bidi w:val="0"/>
        <w:spacing w:line="560" w:lineRule="atLeast"/>
        <w:ind w:firstLine="643" w:firstLineChars="200"/>
        <w:textAlignment w:val="auto"/>
        <w:rPr>
          <w:rFonts w:hint="eastAsia" w:ascii="仿宋" w:hAnsi="仿宋" w:eastAsia="仿宋" w:cs="仿宋"/>
          <w:b w:val="0"/>
          <w:bCs w:val="0"/>
          <w:i w:val="0"/>
          <w:iCs w:val="0"/>
          <w:caps w:val="0"/>
          <w:color w:val="232323"/>
          <w:spacing w:val="0"/>
          <w:sz w:val="32"/>
          <w:szCs w:val="32"/>
          <w:lang w:val="en-US" w:eastAsia="zh-CN"/>
        </w:rPr>
      </w:pPr>
      <w:r>
        <w:rPr>
          <w:rFonts w:hint="eastAsia" w:ascii="仿宋" w:hAnsi="仿宋" w:eastAsia="仿宋" w:cs="仿宋"/>
          <w:b/>
          <w:bCs/>
          <w:i w:val="0"/>
          <w:iCs w:val="0"/>
          <w:caps w:val="0"/>
          <w:color w:val="232323"/>
          <w:spacing w:val="0"/>
          <w:sz w:val="32"/>
          <w:szCs w:val="32"/>
          <w:lang w:val="en-US" w:eastAsia="zh-CN"/>
        </w:rPr>
        <w:t>3、源头治理，快速主动。一是开展道路交通事故预防。</w:t>
      </w:r>
      <w:r>
        <w:rPr>
          <w:rFonts w:hint="eastAsia" w:ascii="仿宋" w:hAnsi="仿宋" w:eastAsia="仿宋" w:cs="仿宋"/>
          <w:b w:val="0"/>
          <w:bCs w:val="0"/>
          <w:i w:val="0"/>
          <w:iCs w:val="0"/>
          <w:caps w:val="0"/>
          <w:color w:val="232323"/>
          <w:spacing w:val="0"/>
          <w:sz w:val="32"/>
          <w:szCs w:val="32"/>
          <w:lang w:val="en-US" w:eastAsia="zh-CN"/>
        </w:rPr>
        <w:t>查处各类交通违法行为15.9万余起，查处无证驾驶405起、饮酒驾驶335起、醉酒驾驶9起、超员598起、逾期未检验车辆2157起。</w:t>
      </w:r>
      <w:r>
        <w:rPr>
          <w:rFonts w:hint="eastAsia" w:ascii="仿宋" w:hAnsi="仿宋" w:eastAsia="仿宋" w:cs="仿宋"/>
          <w:b/>
          <w:bCs/>
          <w:i w:val="0"/>
          <w:iCs w:val="0"/>
          <w:caps w:val="0"/>
          <w:color w:val="232323"/>
          <w:spacing w:val="0"/>
          <w:sz w:val="32"/>
          <w:szCs w:val="32"/>
          <w:lang w:val="en-US" w:eastAsia="zh-CN"/>
        </w:rPr>
        <w:t>二是全力强化治安管理。</w:t>
      </w:r>
      <w:r>
        <w:rPr>
          <w:rFonts w:hint="eastAsia" w:ascii="仿宋" w:hAnsi="仿宋" w:eastAsia="仿宋" w:cs="仿宋"/>
          <w:b w:val="0"/>
          <w:bCs w:val="0"/>
          <w:i w:val="0"/>
          <w:iCs w:val="0"/>
          <w:caps w:val="0"/>
          <w:color w:val="232323"/>
          <w:spacing w:val="0"/>
          <w:sz w:val="32"/>
          <w:szCs w:val="32"/>
          <w:lang w:val="en-US" w:eastAsia="zh-CN"/>
        </w:rPr>
        <w:t>全县开展集中清查行动17次，排治各类安全隐患251处，核销涉危爆单位12家，查处未实名登记案件6起、涉爆案件17起，行政处罚23人，收缴烟花爆竹2318件；破获涉枪案件8件8人，起诉5人，收缴仿真枪支149支，有效防止涉危爆物品不流失、不炸响。</w:t>
      </w:r>
      <w:r>
        <w:rPr>
          <w:rFonts w:hint="eastAsia" w:ascii="仿宋" w:hAnsi="仿宋" w:eastAsia="仿宋" w:cs="仿宋"/>
          <w:b/>
          <w:bCs/>
          <w:i w:val="0"/>
          <w:iCs w:val="0"/>
          <w:caps w:val="0"/>
          <w:color w:val="232323"/>
          <w:spacing w:val="0"/>
          <w:sz w:val="32"/>
          <w:szCs w:val="32"/>
          <w:lang w:val="en-US" w:eastAsia="zh-CN"/>
        </w:rPr>
        <w:t>三是监管场所绝对安全平稳。</w:t>
      </w:r>
      <w:r>
        <w:rPr>
          <w:rFonts w:hint="eastAsia" w:ascii="仿宋" w:hAnsi="仿宋" w:eastAsia="仿宋" w:cs="仿宋"/>
          <w:b w:val="0"/>
          <w:bCs w:val="0"/>
          <w:i w:val="0"/>
          <w:iCs w:val="0"/>
          <w:caps w:val="0"/>
          <w:color w:val="232323"/>
          <w:spacing w:val="0"/>
          <w:sz w:val="32"/>
          <w:szCs w:val="32"/>
          <w:lang w:val="en-US" w:eastAsia="zh-CN"/>
        </w:rPr>
        <w:t>2021年监管场所治安收押600余人，刑事关押634人，投牢154人，刑满释放85人，缓刑释放6人，无罪释放1人，临时寄押9人，取保候审245人，出所就医15人。联合武警中队、驻检室开展突发事件应急预案演练1次，安全检查15次，整改安全隐患24处，守住了监所安全“零事故”和在押人员“零感染”两条底线。</w:t>
      </w:r>
    </w:p>
    <w:p>
      <w:pPr>
        <w:keepNext w:val="0"/>
        <w:keepLines w:val="0"/>
        <w:pageBreakBefore w:val="0"/>
        <w:kinsoku/>
        <w:overflowPunct/>
        <w:topLinePunct w:val="0"/>
        <w:autoSpaceDE/>
        <w:autoSpaceDN/>
        <w:bidi w:val="0"/>
        <w:spacing w:line="560" w:lineRule="atLeast"/>
        <w:ind w:firstLine="643" w:firstLineChars="200"/>
        <w:textAlignment w:val="auto"/>
        <w:rPr>
          <w:rFonts w:hint="eastAsia" w:ascii="仿宋" w:hAnsi="仿宋" w:eastAsia="仿宋" w:cs="仿宋"/>
          <w:b w:val="0"/>
          <w:bCs w:val="0"/>
          <w:i w:val="0"/>
          <w:iCs w:val="0"/>
          <w:caps w:val="0"/>
          <w:color w:val="232323"/>
          <w:spacing w:val="0"/>
          <w:sz w:val="32"/>
          <w:szCs w:val="32"/>
          <w:lang w:val="en-US" w:eastAsia="zh-CN"/>
        </w:rPr>
      </w:pPr>
      <w:r>
        <w:rPr>
          <w:rFonts w:hint="eastAsia" w:ascii="仿宋" w:hAnsi="仿宋" w:eastAsia="仿宋" w:cs="仿宋"/>
          <w:b/>
          <w:bCs/>
          <w:i w:val="0"/>
          <w:iCs w:val="0"/>
          <w:caps w:val="0"/>
          <w:color w:val="232323"/>
          <w:spacing w:val="0"/>
          <w:sz w:val="32"/>
          <w:szCs w:val="32"/>
          <w:lang w:val="en-US" w:eastAsia="zh-CN"/>
        </w:rPr>
        <w:t>4、改革创新，推动基层治理。</w:t>
      </w:r>
      <w:r>
        <w:rPr>
          <w:rFonts w:hint="eastAsia" w:ascii="仿宋" w:hAnsi="仿宋" w:eastAsia="仿宋" w:cs="仿宋"/>
          <w:b w:val="0"/>
          <w:bCs w:val="0"/>
          <w:i w:val="0"/>
          <w:iCs w:val="0"/>
          <w:caps w:val="0"/>
          <w:color w:val="232323"/>
          <w:spacing w:val="0"/>
          <w:sz w:val="32"/>
          <w:szCs w:val="32"/>
          <w:lang w:val="en-US" w:eastAsia="zh-CN"/>
        </w:rPr>
        <w:t>2021年新建省级智慧小区16个，完成采集覆盖率24%，完成三级电子物证检验鉴定室、监所“智慧磐石”、一体化办案中心设备采购、安装调试，城区“天网”重建项目完成立项设计等工作。总计投入850万元完成响滩、得胜派出所新建项目。全县260家宾旅店、181家物流寄递业、41家加油站实现实名制登记信息系统安装、使用、上传率达100%。完成24个警务室建设，推出预约式、代办式服务。开展“流动车管所”下乡便民活动3次，为300余名群众办理摩托车驾驶证。</w:t>
      </w:r>
    </w:p>
    <w:p>
      <w:pPr>
        <w:pStyle w:val="2"/>
        <w:keepNext w:val="0"/>
        <w:keepLines w:val="0"/>
        <w:pageBreakBefore w:val="0"/>
        <w:kinsoku/>
        <w:overflowPunct/>
        <w:topLinePunct w:val="0"/>
        <w:autoSpaceDE/>
        <w:autoSpaceDN/>
        <w:bidi w:val="0"/>
        <w:spacing w:line="560" w:lineRule="atLeast"/>
        <w:ind w:firstLine="643" w:firstLineChars="200"/>
        <w:textAlignment w:val="auto"/>
        <w:rPr>
          <w:rFonts w:hint="default"/>
          <w:sz w:val="32"/>
          <w:szCs w:val="32"/>
          <w:lang w:val="en-US" w:eastAsia="zh-CN"/>
        </w:rPr>
      </w:pPr>
      <w:r>
        <w:rPr>
          <w:rFonts w:hint="eastAsia" w:ascii="仿宋" w:hAnsi="仿宋" w:eastAsia="仿宋" w:cs="仿宋"/>
          <w:b/>
          <w:bCs/>
          <w:i w:val="0"/>
          <w:iCs w:val="0"/>
          <w:caps w:val="0"/>
          <w:color w:val="232323"/>
          <w:spacing w:val="0"/>
          <w:sz w:val="32"/>
          <w:szCs w:val="32"/>
          <w:lang w:val="en-US" w:eastAsia="zh-CN"/>
        </w:rPr>
        <w:t>5、</w:t>
      </w:r>
      <w:r>
        <w:rPr>
          <w:rFonts w:hint="eastAsia" w:ascii="仿宋_GB2312" w:hAnsi="微软雅黑" w:eastAsia="仿宋_GB2312" w:cs="仿宋_GB2312"/>
          <w:b/>
          <w:bCs/>
          <w:i w:val="0"/>
          <w:iCs w:val="0"/>
          <w:caps w:val="0"/>
          <w:color w:val="232323"/>
          <w:spacing w:val="0"/>
          <w:kern w:val="0"/>
          <w:sz w:val="32"/>
          <w:szCs w:val="32"/>
          <w:lang w:val="en-US" w:eastAsia="zh-CN" w:bidi="ar"/>
        </w:rPr>
        <w:t>队伍建设，坚定可靠</w:t>
      </w:r>
      <w:r>
        <w:rPr>
          <w:rFonts w:hint="default" w:ascii="仿宋_GB2312" w:hAnsi="微软雅黑" w:eastAsia="仿宋_GB2312" w:cs="仿宋_GB2312"/>
          <w:b/>
          <w:bCs/>
          <w:i w:val="0"/>
          <w:iCs w:val="0"/>
          <w:caps w:val="0"/>
          <w:color w:val="232323"/>
          <w:spacing w:val="0"/>
          <w:kern w:val="0"/>
          <w:sz w:val="32"/>
          <w:szCs w:val="32"/>
          <w:lang w:val="en-US" w:eastAsia="zh-CN" w:bidi="ar"/>
        </w:rPr>
        <w:t>。</w:t>
      </w:r>
      <w:r>
        <w:rPr>
          <w:rFonts w:hint="eastAsia" w:ascii="仿宋_GB2312" w:hAnsi="微软雅黑" w:eastAsia="仿宋_GB2312" w:cs="仿宋_GB2312"/>
          <w:b w:val="0"/>
          <w:bCs w:val="0"/>
          <w:i w:val="0"/>
          <w:iCs w:val="0"/>
          <w:caps w:val="0"/>
          <w:color w:val="232323"/>
          <w:spacing w:val="0"/>
          <w:kern w:val="0"/>
          <w:sz w:val="32"/>
          <w:szCs w:val="32"/>
          <w:lang w:val="en-US" w:eastAsia="zh-CN" w:bidi="ar"/>
        </w:rPr>
        <w:t>2021年开展全局学习课42次，知识测试3次，红色教育200人次，评查案件警情25268条，看望慰问遗属、困难民辅警37人，为全局838名民辅警开展健康体检。</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88" w:name="_Toc24932"/>
      <w:r>
        <w:rPr>
          <w:rFonts w:hint="eastAsia" w:ascii="黑体" w:hAnsi="宋体" w:eastAsia="黑体" w:cs="宋体"/>
          <w:color w:val="auto"/>
          <w:kern w:val="0"/>
          <w:sz w:val="32"/>
          <w:szCs w:val="32"/>
          <w:highlight w:val="none"/>
          <w:shd w:val="clear" w:color="auto" w:fill="FFFFFF"/>
        </w:rPr>
        <w:t>四、评价结论及建议</w:t>
      </w:r>
      <w:bookmarkEnd w:id="88"/>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firstLine="640" w:firstLineChars="200"/>
        <w:jc w:val="both"/>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 w:hAnsi="仿宋" w:eastAsia="仿宋" w:cs="仿宋"/>
          <w:sz w:val="32"/>
          <w:szCs w:val="32"/>
          <w:lang w:eastAsia="zh-CN"/>
        </w:rPr>
        <w:t>经我局自评，</w:t>
      </w:r>
      <w:r>
        <w:rPr>
          <w:rFonts w:hint="eastAsia" w:ascii="仿宋" w:hAnsi="仿宋" w:eastAsia="仿宋" w:cs="仿宋"/>
          <w:sz w:val="32"/>
          <w:szCs w:val="32"/>
          <w:lang w:val="en-US" w:eastAsia="zh-CN"/>
        </w:rPr>
        <w:t>2021年整体支出绩效评价得分为95分，重点项目“天网和治安卡口租金项目”绩效评价得分为92分、“看守所建设项目”绩效评价得分为93分，都为优秀档次。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32323"/>
          <w:spacing w:val="0"/>
          <w:sz w:val="32"/>
          <w:szCs w:val="32"/>
        </w:rPr>
      </w:pPr>
      <w:r>
        <w:rPr>
          <w:rFonts w:hint="eastAsia" w:ascii="仿宋" w:hAnsi="仿宋" w:eastAsia="仿宋" w:cs="仿宋"/>
          <w:i w:val="0"/>
          <w:iCs w:val="0"/>
          <w:caps w:val="0"/>
          <w:color w:val="232323"/>
          <w:spacing w:val="0"/>
          <w:kern w:val="0"/>
          <w:sz w:val="32"/>
          <w:szCs w:val="32"/>
          <w:lang w:val="en-US" w:eastAsia="zh-CN" w:bidi="ar"/>
        </w:rPr>
        <w:t>1、预算执行。存在预算执行进度不均衡现象，主要是有些项目结算不及时，造成支出进度与预算执行要求不相符；财政年初预算公用经费不足，公安公用经费实际支出远超年初预算，控制率难以达到要求。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atLeast"/>
        <w:ind w:right="0" w:firstLine="640" w:firstLineChars="200"/>
        <w:jc w:val="left"/>
        <w:textAlignment w:val="auto"/>
        <w:rPr>
          <w:rFonts w:hint="eastAsia" w:ascii="仿宋" w:hAnsi="仿宋" w:eastAsia="仿宋" w:cs="仿宋"/>
          <w:i w:val="0"/>
          <w:iCs w:val="0"/>
          <w:caps w:val="0"/>
          <w:color w:val="232323"/>
          <w:spacing w:val="0"/>
          <w:sz w:val="32"/>
          <w:szCs w:val="32"/>
        </w:rPr>
      </w:pPr>
      <w:r>
        <w:rPr>
          <w:rFonts w:hint="eastAsia" w:ascii="仿宋" w:hAnsi="仿宋" w:eastAsia="仿宋" w:cs="仿宋"/>
          <w:i w:val="0"/>
          <w:iCs w:val="0"/>
          <w:caps w:val="0"/>
          <w:color w:val="232323"/>
          <w:spacing w:val="0"/>
          <w:kern w:val="0"/>
          <w:sz w:val="32"/>
          <w:szCs w:val="32"/>
          <w:lang w:val="en-US" w:eastAsia="zh-CN" w:bidi="ar"/>
        </w:rPr>
        <w:t>2、经费保障。财政年初预算经费低于实际支出需要，</w:t>
      </w:r>
      <w:r>
        <w:rPr>
          <w:rFonts w:hint="eastAsia" w:ascii="仿宋" w:hAnsi="仿宋" w:eastAsia="仿宋" w:cs="仿宋"/>
          <w:sz w:val="32"/>
          <w:szCs w:val="32"/>
        </w:rPr>
        <w:t>随着</w:t>
      </w:r>
      <w:r>
        <w:rPr>
          <w:rFonts w:hint="eastAsia" w:ascii="仿宋" w:hAnsi="仿宋" w:eastAsia="仿宋" w:cs="仿宋"/>
          <w:sz w:val="32"/>
          <w:szCs w:val="32"/>
          <w:lang w:eastAsia="zh-CN"/>
        </w:rPr>
        <w:t>政治安全、社会稳定、疫情反弹风险突出，</w:t>
      </w:r>
      <w:r>
        <w:rPr>
          <w:rFonts w:hint="eastAsia" w:ascii="仿宋" w:hAnsi="仿宋" w:eastAsia="仿宋" w:cs="仿宋"/>
          <w:sz w:val="32"/>
          <w:szCs w:val="32"/>
        </w:rPr>
        <w:t>物价上涨，应急处突、执法办案等工作任务的逐年增加，虽然公安经费保障有所改善，但难以满足公安机关工作需要。</w:t>
      </w:r>
      <w:r>
        <w:rPr>
          <w:rFonts w:hint="eastAsia" w:ascii="仿宋" w:hAnsi="仿宋" w:eastAsia="仿宋" w:cs="仿宋"/>
          <w:i w:val="0"/>
          <w:iCs w:val="0"/>
          <w:caps w:val="0"/>
          <w:color w:val="232323"/>
          <w:spacing w:val="0"/>
          <w:kern w:val="0"/>
          <w:sz w:val="32"/>
          <w:szCs w:val="32"/>
          <w:lang w:val="en-US" w:eastAsia="zh-CN" w:bidi="ar"/>
        </w:rPr>
        <w:t>建议财政按照单位实际开支情况增加年初预算。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150" w:afterAutospacing="0" w:line="560" w:lineRule="atLeast"/>
        <w:ind w:left="0" w:right="0" w:firstLine="560"/>
        <w:jc w:val="left"/>
        <w:textAlignment w:val="auto"/>
        <w:rPr>
          <w:rFonts w:hint="eastAsia" w:ascii="仿宋" w:hAnsi="仿宋" w:eastAsia="仿宋" w:cs="仿宋"/>
          <w:b/>
          <w:bCs/>
          <w:color w:val="000000"/>
          <w:szCs w:val="32"/>
          <w:shd w:val="clear" w:color="auto" w:fill="FFFFFF"/>
          <w:lang w:val="zh-CN"/>
        </w:rPr>
      </w:pPr>
      <w:r>
        <w:rPr>
          <w:rFonts w:hint="eastAsia" w:ascii="仿宋" w:hAnsi="仿宋" w:eastAsia="仿宋" w:cs="仿宋"/>
          <w:i w:val="0"/>
          <w:iCs w:val="0"/>
          <w:caps w:val="0"/>
          <w:color w:val="232323"/>
          <w:spacing w:val="0"/>
          <w:kern w:val="0"/>
          <w:sz w:val="32"/>
          <w:szCs w:val="32"/>
          <w:lang w:val="en-US" w:eastAsia="zh-CN" w:bidi="ar"/>
        </w:rPr>
        <w:t>3、内部管理。内部控制制度与体系流于形式，在实际过程中不能充分发挥作用，无法科学合理地对内部控制体系的正常运转进行真实有效的评价。</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32323"/>
          <w:spacing w:val="0"/>
          <w:sz w:val="32"/>
          <w:szCs w:val="32"/>
        </w:rPr>
      </w:pPr>
      <w:r>
        <w:rPr>
          <w:rFonts w:hint="eastAsia" w:ascii="仿宋" w:hAnsi="仿宋" w:eastAsia="仿宋" w:cs="仿宋"/>
          <w:i w:val="0"/>
          <w:iCs w:val="0"/>
          <w:caps w:val="0"/>
          <w:color w:val="232323"/>
          <w:spacing w:val="0"/>
          <w:kern w:val="0"/>
          <w:sz w:val="32"/>
          <w:szCs w:val="32"/>
          <w:lang w:val="en-US" w:eastAsia="zh-CN" w:bidi="ar"/>
        </w:rPr>
        <w:t>1、加强收支计划执行情况分析，加快资金执行进度。严格按照《预算法》的要求，尽早下达专项资金，加快资金执行进度。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32323"/>
          <w:spacing w:val="0"/>
          <w:sz w:val="32"/>
          <w:szCs w:val="32"/>
        </w:rPr>
      </w:pPr>
      <w:r>
        <w:rPr>
          <w:rFonts w:hint="eastAsia" w:ascii="仿宋" w:hAnsi="仿宋" w:eastAsia="仿宋" w:cs="仿宋"/>
          <w:i w:val="0"/>
          <w:iCs w:val="0"/>
          <w:caps w:val="0"/>
          <w:color w:val="232323"/>
          <w:spacing w:val="0"/>
          <w:kern w:val="0"/>
          <w:sz w:val="32"/>
          <w:szCs w:val="32"/>
          <w:shd w:val="clear" w:color="auto" w:fill="FFFFFF"/>
          <w:lang w:val="en-US" w:eastAsia="zh-CN" w:bidi="ar"/>
        </w:rPr>
        <w:t>2、积极向财政部门沟通，依靠财政解决局党委部署的各项重点中心工作，严格执行专款专用。</w:t>
      </w:r>
    </w:p>
    <w:p>
      <w:pPr>
        <w:pStyle w:val="7"/>
        <w:ind w:firstLine="640" w:firstLineChars="200"/>
        <w:rPr>
          <w:rFonts w:hint="eastAsia" w:hAnsi="宋体" w:cs="宋体"/>
          <w:color w:val="auto"/>
          <w:kern w:val="0"/>
          <w:sz w:val="32"/>
          <w:szCs w:val="32"/>
          <w:highlight w:val="none"/>
          <w:shd w:val="clear" w:color="auto" w:fill="FFFFFF"/>
          <w:lang w:val="zh-CN"/>
        </w:rPr>
      </w:pPr>
      <w:r>
        <w:rPr>
          <w:rFonts w:hint="eastAsia" w:ascii="仿宋" w:hAnsi="仿宋" w:eastAsia="仿宋" w:cs="仿宋"/>
          <w:i w:val="0"/>
          <w:iCs w:val="0"/>
          <w:caps w:val="0"/>
          <w:color w:val="232323"/>
          <w:spacing w:val="0"/>
          <w:kern w:val="0"/>
          <w:sz w:val="32"/>
          <w:szCs w:val="32"/>
          <w:shd w:val="clear" w:color="auto" w:fill="FFFFFF"/>
          <w:lang w:val="en-US" w:eastAsia="zh-CN" w:bidi="ar"/>
        </w:rPr>
        <w:t>3、加强项目绩效管理，建立完善的内部控制制度，提高资金使用效益，</w:t>
      </w:r>
      <w:r>
        <w:rPr>
          <w:rFonts w:hint="eastAsia" w:ascii="仿宋" w:hAnsi="仿宋" w:eastAsia="仿宋" w:cs="仿宋"/>
          <w:sz w:val="32"/>
          <w:szCs w:val="32"/>
        </w:rPr>
        <w:t>进一步深化、完善绩效管理体系，建立全过程的预算绩效管理机制，促进绩效管理工作向广度和深度延伸。</w:t>
      </w: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rPr>
          <w:rFonts w:hint="eastAsia" w:hAnsi="宋体" w:cs="宋体"/>
          <w:color w:val="auto"/>
          <w:kern w:val="0"/>
          <w:sz w:val="32"/>
          <w:szCs w:val="32"/>
          <w:highlight w:val="none"/>
          <w:shd w:val="clear" w:color="auto" w:fill="FFFFFF"/>
          <w:lang w:val="zh-CN"/>
        </w:rPr>
      </w:pPr>
    </w:p>
    <w:p>
      <w:pPr>
        <w:pStyle w:val="2"/>
        <w:rPr>
          <w:rFonts w:hint="eastAsia"/>
          <w:lang w:val="zh-CN"/>
        </w:rPr>
      </w:pPr>
    </w:p>
    <w:p>
      <w:pPr>
        <w:rPr>
          <w:rFonts w:hint="eastAsia"/>
          <w:lang w:val="zh-CN"/>
        </w:rPr>
      </w:pPr>
    </w:p>
    <w:p>
      <w:pPr>
        <w:pStyle w:val="7"/>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pStyle w:val="36"/>
        <w:keepNext w:val="0"/>
        <w:keepLines w:val="0"/>
        <w:pageBreakBefore w:val="0"/>
        <w:widowControl w:val="0"/>
        <w:kinsoku/>
        <w:wordWrap/>
        <w:overflowPunct/>
        <w:topLinePunct w:val="0"/>
        <w:autoSpaceDE/>
        <w:autoSpaceDN/>
        <w:bidi w:val="0"/>
        <w:spacing w:line="560" w:lineRule="atLeast"/>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2021年公安局天网和治安卡口</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租金</w:t>
      </w:r>
      <w:r>
        <w:rPr>
          <w:rFonts w:hint="eastAsia" w:ascii="方正小标宋简体" w:hAns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1"/>
        <w:rPr>
          <w:rFonts w:ascii="黑体" w:hAnsi="宋体" w:eastAsia="黑体" w:cs="Times New Roman"/>
          <w:color w:val="auto"/>
          <w:sz w:val="32"/>
          <w:szCs w:val="32"/>
          <w:highlight w:val="none"/>
          <w:lang w:val="zh-CN"/>
        </w:rPr>
      </w:pPr>
      <w:bookmarkStart w:id="89" w:name="_Toc30094"/>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bookmarkEnd w:id="89"/>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1．项目主管部门在该项目管理中的职能。</w:t>
      </w:r>
    </w:p>
    <w:p>
      <w:pPr>
        <w:pStyle w:val="2"/>
        <w:ind w:firstLine="640" w:firstLineChars="200"/>
        <w:rPr>
          <w:lang w:val="zh-CN"/>
        </w:rPr>
      </w:pPr>
      <w:r>
        <w:rPr>
          <w:rFonts w:hint="eastAsia" w:ascii="仿宋" w:hAnsi="仿宋" w:eastAsia="仿宋" w:cs="仿宋"/>
          <w:sz w:val="32"/>
          <w:szCs w:val="32"/>
          <w:lang w:val="zh-CN"/>
        </w:rPr>
        <w:t>切实维护社会稳定，提升人民群众安全感，坚持以科学发展观为指导，以“多破案、快破案、办好案”为总体目标，采取强有力措施，加强巡逻，提高见警率，加大源头治理力度，快速准确打击街面犯罪，挤压街面犯罪空间，全力遏制街面犯罪，营造平安和谐稳定的发展环境。</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72" w:left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项目立项、资金申报的依据。</w:t>
      </w:r>
    </w:p>
    <w:p>
      <w:pPr>
        <w:keepNext w:val="0"/>
        <w:keepLines w:val="0"/>
        <w:pageBreakBefore w:val="0"/>
        <w:widowControl w:val="0"/>
        <w:kinsoku/>
        <w:wordWrap/>
        <w:overflowPunct/>
        <w:topLinePunct w:val="0"/>
        <w:autoSpaceDE/>
        <w:autoSpaceDN/>
        <w:bidi w:val="0"/>
        <w:spacing w:line="560" w:lineRule="atLeast"/>
        <w:ind w:right="0" w:firstLine="640" w:firstLineChars="200"/>
        <w:textAlignment w:val="auto"/>
        <w:rPr>
          <w:lang w:val="zh-CN"/>
        </w:rPr>
      </w:pPr>
      <w:r>
        <w:rPr>
          <w:rFonts w:hint="eastAsia" w:ascii="仿宋" w:hAnsi="仿宋" w:eastAsia="仿宋" w:cs="仿宋"/>
          <w:sz w:val="32"/>
          <w:szCs w:val="32"/>
          <w:lang w:val="zh-CN"/>
        </w:rPr>
        <w:t>根据平府发【</w:t>
      </w:r>
      <w:r>
        <w:rPr>
          <w:rFonts w:hint="eastAsia" w:ascii="仿宋" w:hAnsi="仿宋" w:eastAsia="仿宋" w:cs="仿宋"/>
          <w:sz w:val="32"/>
          <w:szCs w:val="32"/>
          <w:lang w:val="en-US" w:eastAsia="zh-CN"/>
        </w:rPr>
        <w:t>2012】26号平昌县人民政府关于印发《落实&lt;县人大常委会关于听取打击街面犯罪工作情况报告的审议意见&gt;工作方案》的通知相关规定，此通知作为资金申请依据，项目设立符合申报条件且有明确政策规定。</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1152" w:leftChars="0" w:hanging="48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资金管理办法制定情况，资金支持具体项目的条件、</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范围与支持方式概况。</w:t>
      </w:r>
    </w:p>
    <w:p>
      <w:pPr>
        <w:pStyle w:val="2"/>
        <w:numPr>
          <w:ilvl w:val="0"/>
          <w:numId w:val="0"/>
        </w:numPr>
        <w:ind w:firstLine="640" w:firstLineChars="200"/>
        <w:rPr>
          <w:rFonts w:hint="eastAsia"/>
          <w:lang w:val="zh-CN"/>
        </w:rPr>
      </w:pPr>
      <w:r>
        <w:rPr>
          <w:rFonts w:hint="eastAsia" w:ascii="仿宋" w:hAnsi="仿宋" w:eastAsia="仿宋" w:cs="仿宋"/>
          <w:sz w:val="32"/>
          <w:szCs w:val="32"/>
          <w:lang w:val="zh-CN"/>
        </w:rPr>
        <w:t>按照《平昌县城市报警与监控技术方案》进行建设，与中国移动通信集团四川有限公司平昌分公司签订“天网”项目合作协议。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bCs w:val="0"/>
          <w:kern w:val="2"/>
          <w:sz w:val="32"/>
          <w:szCs w:val="32"/>
          <w:lang w:val="zh-CN" w:eastAsia="zh-CN" w:bidi="ar-SA"/>
        </w:rPr>
      </w:pPr>
      <w:r>
        <w:rPr>
          <w:rFonts w:hint="eastAsia" w:ascii="仿宋" w:hAnsi="仿宋" w:eastAsia="仿宋" w:cs="仿宋"/>
          <w:b/>
          <w:bCs w:val="0"/>
          <w:kern w:val="2"/>
          <w:sz w:val="32"/>
          <w:szCs w:val="32"/>
          <w:lang w:val="zh-CN" w:eastAsia="zh-CN" w:bidi="ar-SA"/>
        </w:rPr>
        <w:t>1．项目主要内容。</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zh-CN" w:eastAsia="zh-CN" w:bidi="ar-SA"/>
        </w:rPr>
        <w:t>充分利用光纤通信网络技术，整合信息化资源，提供天网监控及传输服务。治安卡口全天候实时监测道路卡口的过往车辆，自动识别车牌，不间断统计、分析车流量情况，实时全景录像。为城市治安、交通管理提供准确数据及信息。通过超速抓拍系统，实时抓拍超速违章车辆图片，并可实现布控车辆稽查报警，为非现场执法提供有力证据；通过处罚、教育、有效减少交通事故发生，保障公路交通安全。</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bCs w:val="0"/>
          <w:kern w:val="2"/>
          <w:sz w:val="32"/>
          <w:szCs w:val="32"/>
          <w:lang w:val="zh-CN" w:eastAsia="zh-CN" w:bidi="ar-SA"/>
        </w:rPr>
      </w:pPr>
      <w:r>
        <w:rPr>
          <w:rFonts w:hint="eastAsia" w:ascii="仿宋" w:hAnsi="仿宋" w:eastAsia="仿宋" w:cs="仿宋"/>
          <w:b/>
          <w:bCs w:val="0"/>
          <w:kern w:val="2"/>
          <w:sz w:val="32"/>
          <w:szCs w:val="32"/>
          <w:lang w:val="en-US" w:eastAsia="zh-CN" w:bidi="ar-SA"/>
        </w:rPr>
        <w:t>2.</w:t>
      </w:r>
      <w:r>
        <w:rPr>
          <w:rFonts w:hint="eastAsia" w:ascii="仿宋" w:hAnsi="仿宋" w:eastAsia="仿宋" w:cs="仿宋"/>
          <w:b/>
          <w:bCs w:val="0"/>
          <w:kern w:val="2"/>
          <w:sz w:val="32"/>
          <w:szCs w:val="32"/>
          <w:lang w:val="zh-CN" w:eastAsia="zh-CN" w:bidi="ar-SA"/>
        </w:rPr>
        <w:t>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zh-CN" w:eastAsia="zh-CN" w:bidi="ar-SA"/>
        </w:rPr>
        <w:t>“天网”工程和治安卡口采用租赁方式，由县电信、移动公司承建，公安局租赁。其中“天网”老城区</w:t>
      </w:r>
      <w:r>
        <w:rPr>
          <w:rFonts w:hint="eastAsia" w:ascii="仿宋" w:hAnsi="仿宋" w:eastAsia="仿宋" w:cs="仿宋"/>
          <w:b w:val="0"/>
          <w:bCs/>
          <w:kern w:val="2"/>
          <w:sz w:val="32"/>
          <w:szCs w:val="32"/>
          <w:lang w:val="en-US" w:eastAsia="zh-CN" w:bidi="ar-SA"/>
        </w:rPr>
        <w:t>37条，滨河路58条，金宝新区60条，每条每月1280元，</w:t>
      </w:r>
      <w:r>
        <w:rPr>
          <w:rFonts w:hint="eastAsia" w:ascii="仿宋" w:hAnsi="仿宋" w:eastAsia="仿宋" w:cs="仿宋"/>
          <w:b w:val="0"/>
          <w:bCs/>
          <w:kern w:val="2"/>
          <w:sz w:val="32"/>
          <w:szCs w:val="32"/>
          <w:lang w:val="zh-CN" w:eastAsia="zh-CN" w:bidi="ar-SA"/>
        </w:rPr>
        <w:t>计</w:t>
      </w:r>
      <w:r>
        <w:rPr>
          <w:rFonts w:hint="eastAsia" w:ascii="仿宋" w:hAnsi="仿宋" w:eastAsia="仿宋" w:cs="仿宋"/>
          <w:b w:val="0"/>
          <w:bCs/>
          <w:kern w:val="2"/>
          <w:sz w:val="32"/>
          <w:szCs w:val="32"/>
          <w:lang w:val="en-US" w:eastAsia="zh-CN" w:bidi="ar-SA"/>
        </w:rPr>
        <w:t>238.08万元;</w:t>
      </w:r>
      <w:r>
        <w:rPr>
          <w:rFonts w:hint="eastAsia" w:ascii="仿宋" w:hAnsi="仿宋" w:eastAsia="仿宋" w:cs="仿宋"/>
          <w:b w:val="0"/>
          <w:bCs/>
          <w:kern w:val="2"/>
          <w:sz w:val="32"/>
          <w:szCs w:val="32"/>
          <w:lang w:val="zh-CN" w:eastAsia="zh-CN" w:bidi="ar-SA"/>
        </w:rPr>
        <w:t>治安卡口17个点位，每点每月2800元，计57.12万元。</w:t>
      </w:r>
      <w:r>
        <w:rPr>
          <w:rFonts w:hint="eastAsia" w:ascii="仿宋" w:hAnsi="仿宋" w:eastAsia="仿宋" w:cs="仿宋"/>
          <w:b w:val="0"/>
          <w:bCs/>
          <w:kern w:val="2"/>
          <w:sz w:val="32"/>
          <w:szCs w:val="32"/>
          <w:lang w:val="en-US" w:eastAsia="zh-CN" w:bidi="ar-SA"/>
        </w:rPr>
        <w:t>4个点位，每点每月1200元，计5.76万元。“天网”和治安卡口共计300.96万元，资金使用率达100%，服务对象满意度96%。</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72" w:leftChars="0"/>
        <w:textAlignment w:val="auto"/>
        <w:rPr>
          <w:rFonts w:hint="eastAsia" w:ascii="仿宋" w:hAnsi="仿宋" w:eastAsia="仿宋" w:cs="仿宋"/>
          <w:b/>
          <w:bCs w:val="0"/>
          <w:kern w:val="2"/>
          <w:sz w:val="32"/>
          <w:szCs w:val="32"/>
          <w:lang w:val="zh-CN" w:eastAsia="zh-CN" w:bidi="ar-SA"/>
        </w:rPr>
      </w:pPr>
      <w:r>
        <w:rPr>
          <w:rFonts w:hint="eastAsia" w:ascii="仿宋" w:hAnsi="仿宋" w:eastAsia="仿宋" w:cs="仿宋"/>
          <w:b/>
          <w:bCs w:val="0"/>
          <w:kern w:val="2"/>
          <w:sz w:val="32"/>
          <w:szCs w:val="32"/>
          <w:lang w:val="en-US" w:eastAsia="zh-CN" w:bidi="ar-SA"/>
        </w:rPr>
        <w:t>3.</w:t>
      </w:r>
      <w:r>
        <w:rPr>
          <w:rFonts w:hint="eastAsia" w:ascii="仿宋" w:hAnsi="仿宋" w:eastAsia="仿宋" w:cs="仿宋"/>
          <w:b/>
          <w:bCs w:val="0"/>
          <w:kern w:val="2"/>
          <w:sz w:val="32"/>
          <w:szCs w:val="32"/>
          <w:lang w:val="zh-CN" w:eastAsia="zh-CN" w:bidi="ar-SA"/>
        </w:rPr>
        <w:t>分析评价申报内容是否与实际相符，申报目标是否</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宋体" w:eastAsia="仿宋_GB2312" w:cs="Times New Roman"/>
          <w:color w:val="auto"/>
          <w:sz w:val="32"/>
          <w:szCs w:val="32"/>
          <w:highlight w:val="none"/>
          <w:lang w:val="zh-CN"/>
        </w:rPr>
      </w:pPr>
      <w:r>
        <w:rPr>
          <w:rFonts w:hint="eastAsia" w:ascii="仿宋" w:hAnsi="仿宋" w:eastAsia="仿宋" w:cs="仿宋"/>
          <w:b/>
          <w:bCs w:val="0"/>
          <w:kern w:val="2"/>
          <w:sz w:val="32"/>
          <w:szCs w:val="32"/>
          <w:lang w:val="zh-CN" w:eastAsia="zh-CN" w:bidi="ar-SA"/>
        </w:rPr>
        <w:t>合理可行。</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zh-CN" w:eastAsia="zh-CN" w:bidi="ar-SA"/>
        </w:rPr>
        <w:t>根据项目的实施，</w:t>
      </w:r>
      <w:r>
        <w:rPr>
          <w:rFonts w:hint="eastAsia" w:ascii="仿宋" w:hAnsi="仿宋" w:eastAsia="仿宋" w:cs="仿宋"/>
          <w:b w:val="0"/>
          <w:bCs/>
          <w:kern w:val="2"/>
          <w:sz w:val="32"/>
          <w:szCs w:val="32"/>
          <w:lang w:val="en-US" w:eastAsia="zh-CN" w:bidi="ar-SA"/>
        </w:rPr>
        <w:t>结合我县实际情况，召集相关人员，进行探讨研究，制定了切实可行实施方案，并且每月由负责人员定期对“天网”和治安卡口检查，出现问题及时整改，提高了交通警情、交通违法管理的重要性和紧迫性的认识，强化“天网”及治安卡口数据的质量和效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outlineLvl w:val="1"/>
        <w:rPr>
          <w:rFonts w:ascii="黑体" w:hAnsi="宋体" w:eastAsia="黑体" w:cs="Times New Roman"/>
          <w:color w:val="auto"/>
          <w:sz w:val="32"/>
          <w:szCs w:val="32"/>
          <w:highlight w:val="none"/>
        </w:rPr>
      </w:pPr>
      <w:bookmarkStart w:id="90" w:name="_Toc5371"/>
      <w:r>
        <w:rPr>
          <w:rFonts w:hint="eastAsia" w:ascii="黑体" w:hAnsi="宋体" w:eastAsia="黑体" w:cs="Times New Roman"/>
          <w:color w:val="auto"/>
          <w:sz w:val="32"/>
          <w:szCs w:val="32"/>
          <w:highlight w:val="none"/>
        </w:rPr>
        <w:t>二、项目资金申报及使用情况</w:t>
      </w:r>
      <w:bookmarkEnd w:id="90"/>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en-US" w:eastAsia="zh-CN" w:bidi="ar-SA"/>
        </w:rPr>
        <w:t>平昌县财政局预算追加（减）通知单（平财预【2021】1337号），下达“解决天网和治安卡口租金”项目资金为300万元。该单位2021年度共支付天网租金238.08万元、治安卡口租金62.88万元，共计300.96万元，资金使用率100%。</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72" w:leftChars="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w:t>
      </w:r>
      <w:r>
        <w:rPr>
          <w:rFonts w:hint="eastAsia" w:ascii="仿宋" w:hAnsi="仿宋" w:eastAsia="仿宋" w:cs="仿宋"/>
          <w:b/>
          <w:bCs w:val="0"/>
          <w:kern w:val="2"/>
          <w:sz w:val="32"/>
          <w:szCs w:val="32"/>
          <w:lang w:val="zh-CN" w:eastAsia="zh-CN" w:bidi="ar-SA"/>
        </w:rPr>
        <w:t>计划</w:t>
      </w:r>
      <w:r>
        <w:rPr>
          <w:rFonts w:hint="eastAsia" w:ascii="楷体_GB2312" w:hAnsi="宋体" w:eastAsia="楷体_GB2312" w:cs="Times New Roman"/>
          <w:b/>
          <w:color w:val="auto"/>
          <w:sz w:val="32"/>
          <w:szCs w:val="32"/>
          <w:highlight w:val="none"/>
          <w:lang w:val="zh-CN"/>
        </w:rPr>
        <w:t>、到位及使用情况（可用表格形式反映）。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default"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zh-CN" w:eastAsia="zh-CN" w:bidi="ar-SA"/>
        </w:rPr>
        <w:t>我局内部控制比较健全，资金使用严格依据财政、公安部门制定的相关规章制及公安机关财务管理制度进行，各项资金使用审批规范、手续完善。天网和治安卡口租金项目资金计划</w:t>
      </w:r>
      <w:r>
        <w:rPr>
          <w:rFonts w:hint="eastAsia" w:ascii="仿宋" w:hAnsi="仿宋" w:eastAsia="仿宋" w:cs="仿宋"/>
          <w:b w:val="0"/>
          <w:bCs/>
          <w:kern w:val="2"/>
          <w:sz w:val="32"/>
          <w:szCs w:val="32"/>
          <w:lang w:val="en-US" w:eastAsia="zh-CN" w:bidi="ar-SA"/>
        </w:rPr>
        <w:t>300万元，到位300万元，实际支出300.96万元，支出率100%。资金使用情况表展示如下：</w:t>
      </w:r>
    </w:p>
    <w:tbl>
      <w:tblPr>
        <w:tblStyle w:val="16"/>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843"/>
        <w:gridCol w:w="1727"/>
        <w:gridCol w:w="691"/>
        <w:gridCol w:w="790"/>
        <w:gridCol w:w="863"/>
        <w:gridCol w:w="9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1509"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预算安排</w:t>
            </w:r>
          </w:p>
        </w:tc>
        <w:tc>
          <w:tcPr>
            <w:tcW w:w="870"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实际到位</w:t>
            </w:r>
          </w:p>
        </w:tc>
        <w:tc>
          <w:tcPr>
            <w:tcW w:w="1040"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实际支出</w:t>
            </w:r>
          </w:p>
        </w:tc>
        <w:tc>
          <w:tcPr>
            <w:tcW w:w="609" w:type="pct"/>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本年度结余金额（万元）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合计</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金额</w:t>
            </w:r>
            <w:r>
              <w:rPr>
                <w:rFonts w:hint="eastAsia" w:ascii="仿宋_GB2312" w:hAnsi="宋体"/>
                <w:sz w:val="18"/>
                <w:szCs w:val="18"/>
                <w:vertAlign w:val="baseline"/>
                <w:lang w:val="zh-CN"/>
              </w:rPr>
              <w:t>（万元</w:t>
            </w:r>
            <w:r>
              <w:rPr>
                <w:rFonts w:hint="eastAsia" w:ascii="仿宋_GB2312" w:hAnsi="宋体"/>
                <w:sz w:val="21"/>
                <w:szCs w:val="21"/>
                <w:vertAlign w:val="baseline"/>
                <w:lang w:val="zh-CN"/>
              </w:rPr>
              <w:t>）</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预算批复下达文号</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金额（万元）</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到位率</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金额（万元）</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1"/>
                <w:szCs w:val="21"/>
                <w:vertAlign w:val="baseline"/>
                <w:lang w:val="en-US" w:eastAsia="zh-CN"/>
              </w:rPr>
            </w:pPr>
            <w:r>
              <w:rPr>
                <w:rFonts w:hint="eastAsia" w:ascii="仿宋_GB2312" w:hAnsi="宋体"/>
                <w:sz w:val="21"/>
                <w:szCs w:val="21"/>
                <w:vertAlign w:val="baseline"/>
                <w:lang w:val="zh-CN"/>
              </w:rPr>
              <w:t>支出实现率（</w:t>
            </w:r>
            <w:r>
              <w:rPr>
                <w:rFonts w:hint="eastAsia" w:ascii="仿宋_GB2312" w:hAnsi="宋体"/>
                <w:sz w:val="21"/>
                <w:szCs w:val="21"/>
                <w:vertAlign w:val="baseline"/>
                <w:lang w:val="en-US" w:eastAsia="zh-CN"/>
              </w:rPr>
              <w:t>%）</w:t>
            </w:r>
          </w:p>
        </w:tc>
        <w:tc>
          <w:tcPr>
            <w:tcW w:w="609"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en-US" w:eastAsia="zh-CN"/>
              </w:rPr>
            </w:pPr>
            <w:r>
              <w:rPr>
                <w:rFonts w:hint="eastAsia" w:ascii="仿宋_GB2312" w:hAnsi="宋体"/>
                <w:sz w:val="21"/>
                <w:szCs w:val="21"/>
                <w:vertAlign w:val="baseline"/>
                <w:lang w:val="en-US" w:eastAsia="zh-CN"/>
              </w:rPr>
              <w:t>县级财政资金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300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1"/>
                <w:szCs w:val="21"/>
                <w:vertAlign w:val="baseline"/>
                <w:lang w:val="zh-CN"/>
              </w:rPr>
              <w:t>平财（预）【</w:t>
            </w:r>
            <w:r>
              <w:rPr>
                <w:rFonts w:hint="eastAsia" w:ascii="仿宋_GB2312" w:hAnsi="宋体"/>
                <w:sz w:val="21"/>
                <w:szCs w:val="21"/>
                <w:vertAlign w:val="baseline"/>
                <w:lang w:val="en-US" w:eastAsia="zh-CN"/>
              </w:rPr>
              <w:t>2021】1337号</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300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100%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300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100%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1"/>
                <w:szCs w:val="21"/>
                <w:vertAlign w:val="baseline"/>
                <w:lang w:val="zh-CN"/>
              </w:rPr>
              <w:t>中央财政资金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1"/>
                <w:szCs w:val="21"/>
                <w:vertAlign w:val="baseline"/>
                <w:lang w:val="zh-CN"/>
              </w:rPr>
              <w:t>省级财政资金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1"/>
                <w:szCs w:val="21"/>
                <w:vertAlign w:val="baseline"/>
                <w:lang w:val="zh-CN"/>
              </w:rPr>
              <w:t>市级财政资金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1"/>
                <w:szCs w:val="21"/>
                <w:vertAlign w:val="baseline"/>
                <w:lang w:val="zh-CN"/>
              </w:rPr>
              <w:t>其他渠道资金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县级财政资金实际支出情况</w:t>
            </w: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支出内容</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天网租金</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238.08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治安卡口租金</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62.88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b/>
                <w:bCs/>
                <w:sz w:val="24"/>
                <w:szCs w:val="24"/>
                <w:vertAlign w:val="baseline"/>
                <w:lang w:val="zh-CN"/>
              </w:rPr>
            </w:pPr>
            <w:r>
              <w:rPr>
                <w:rFonts w:hint="eastAsia" w:ascii="仿宋_GB2312" w:hAnsi="宋体"/>
                <w:b/>
                <w:bCs/>
                <w:sz w:val="24"/>
                <w:szCs w:val="24"/>
                <w:vertAlign w:val="baseline"/>
                <w:lang w:val="zh-CN"/>
              </w:rPr>
              <w:t>合</w:t>
            </w:r>
            <w:r>
              <w:rPr>
                <w:rFonts w:hint="eastAsia" w:ascii="仿宋_GB2312" w:hAnsi="宋体"/>
                <w:b/>
                <w:bCs/>
                <w:sz w:val="24"/>
                <w:szCs w:val="24"/>
                <w:vertAlign w:val="baseline"/>
                <w:lang w:val="en-US" w:eastAsia="zh-CN"/>
              </w:rPr>
              <w:t xml:space="preserve">      </w:t>
            </w:r>
            <w:r>
              <w:rPr>
                <w:rFonts w:hint="eastAsia" w:ascii="仿宋_GB2312" w:hAnsi="宋体"/>
                <w:b/>
                <w:bCs/>
                <w:sz w:val="24"/>
                <w:szCs w:val="24"/>
                <w:vertAlign w:val="baseline"/>
                <w:lang w:val="zh-CN"/>
              </w:rPr>
              <w:t>计</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b/>
                <w:bCs/>
                <w:sz w:val="24"/>
                <w:szCs w:val="24"/>
                <w:vertAlign w:val="baseline"/>
                <w:lang w:val="en-US" w:eastAsia="zh-CN"/>
              </w:rPr>
            </w:pPr>
            <w:r>
              <w:rPr>
                <w:rFonts w:hint="eastAsia" w:ascii="仿宋_GB2312" w:hAnsi="宋体"/>
                <w:b/>
                <w:bCs/>
                <w:sz w:val="24"/>
                <w:szCs w:val="24"/>
                <w:vertAlign w:val="baseline"/>
                <w:lang w:val="en-US" w:eastAsia="zh-CN"/>
              </w:rPr>
              <w:t>300.96</w:t>
            </w:r>
          </w:p>
        </w:tc>
      </w:tr>
    </w:tbl>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宋体"/>
          <w:lang w:val="zh-CN"/>
        </w:rPr>
      </w:pPr>
    </w:p>
    <w:p>
      <w:pPr>
        <w:pStyle w:val="2"/>
        <w:numPr>
          <w:ilvl w:val="0"/>
          <w:numId w:val="0"/>
        </w:numPr>
        <w:ind w:left="640" w:leftChars="0"/>
        <w:rPr>
          <w:lang w:val="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22222"/>
          <w:spacing w:val="0"/>
          <w:sz w:val="32"/>
          <w:szCs w:val="32"/>
          <w:shd w:val="clear" w:color="auto" w:fill="FFFFFF"/>
          <w:lang w:val="zh-CN"/>
        </w:rPr>
      </w:pPr>
      <w:r>
        <w:rPr>
          <w:rFonts w:hint="eastAsia" w:ascii="仿宋" w:hAnsi="仿宋" w:eastAsia="仿宋" w:cs="仿宋"/>
          <w:i w:val="0"/>
          <w:iCs w:val="0"/>
          <w:caps w:val="0"/>
          <w:color w:val="222222"/>
          <w:spacing w:val="0"/>
          <w:sz w:val="32"/>
          <w:szCs w:val="32"/>
          <w:shd w:val="clear" w:color="auto" w:fill="FFFFFF"/>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en-US" w:eastAsia="zh-CN" w:bidi="ar-SA"/>
        </w:rPr>
        <w:t>平昌县公安局项目会计核算规范、及时，未发现账务处理不正确、错账、漏账等不符合会计核算的情况，会计信息真实、完整。制定的财务管理规范，符合国家法律、法规和财务规章制度规定，但项目资金未分项目单独核算并建立收支台账。</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ascii="黑体" w:hAnsi="宋体" w:eastAsia="黑体"/>
          <w:sz w:val="32"/>
          <w:szCs w:val="32"/>
        </w:rPr>
      </w:pPr>
      <w:r>
        <w:rPr>
          <w:rFonts w:hint="eastAsia" w:ascii="黑体" w:hAnsi="宋体" w:eastAsia="黑体"/>
          <w:sz w:val="32"/>
          <w:szCs w:val="32"/>
        </w:rPr>
        <w:t>三、项目实施及管理情况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22222"/>
          <w:spacing w:val="0"/>
          <w:sz w:val="32"/>
          <w:szCs w:val="32"/>
          <w:shd w:val="clear" w:color="auto" w:fill="FFFFFF"/>
          <w:lang w:val="zh-CN" w:eastAsia="zh-CN"/>
        </w:rPr>
      </w:pPr>
      <w:r>
        <w:rPr>
          <w:rFonts w:hint="eastAsia" w:ascii="仿宋" w:hAnsi="仿宋" w:eastAsia="仿宋" w:cs="仿宋"/>
          <w:i w:val="0"/>
          <w:iCs w:val="0"/>
          <w:caps w:val="0"/>
          <w:color w:val="222222"/>
          <w:spacing w:val="0"/>
          <w:sz w:val="32"/>
          <w:szCs w:val="32"/>
          <w:shd w:val="clear" w:color="auto" w:fill="FFFFFF"/>
          <w:lang w:val="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en-US" w:eastAsia="zh-CN" w:bidi="ar-SA"/>
        </w:rPr>
        <w:t>为保障平昌县公安机关履职尽责，提高公安机关打击犯罪，维护治安，护航社会经济发展的能力，推进公安队伍装备科技化、现代化，提高警用装备标准，保证办案质量，确保各类警情得到及时、精准处置，满足公安队伍现实需要，提高财政资金的使用效率，在平昌县人民政府建设“平安旅游巴中”的一项重要基础设施上，推动“智慧平昌”“数字平昌”的建设要求，通过视频监控、地理信息、计算机、和多媒体等现代信息技术为依托，整合现有资源通讯，构建统一的城县视频监控平台，满足平昌县综合治理、城县管理、交通管理、应急指挥等业务需求，实现统一指挥、科学监控、协调有序的城县管理运行机制，为构建和谐社会打下坚实的信息化基础。平昌县公安局依据《落实&lt;县人大常委会关于听取打击街面犯罪工作情况报告的审议意见&gt;工作方案》，建设并运营“天网工程”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22222"/>
          <w:spacing w:val="0"/>
          <w:sz w:val="32"/>
          <w:szCs w:val="32"/>
          <w:shd w:val="clear" w:color="auto" w:fill="FFFFFF"/>
          <w:lang w:val="zh-CN"/>
        </w:rPr>
      </w:pPr>
      <w:r>
        <w:rPr>
          <w:rFonts w:hint="eastAsia" w:ascii="仿宋" w:hAnsi="仿宋" w:eastAsia="仿宋" w:cs="仿宋"/>
          <w:i w:val="0"/>
          <w:iCs w:val="0"/>
          <w:caps w:val="0"/>
          <w:color w:val="222222"/>
          <w:spacing w:val="0"/>
          <w:sz w:val="32"/>
          <w:szCs w:val="32"/>
          <w:shd w:val="clear" w:color="auto" w:fill="FFFFFF"/>
          <w:lang w:val="zh-CN"/>
        </w:rPr>
        <w:t>（二）项目管理情况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县公安局根据监控点及平台的整体在线率对承建单位的运行维护工作进行考核，同时对监控系统设备软硬件、故障相应处理、故障发生率、巡检服务等考核指标进行了规定：一是要求承建单位派2名专业技术人员负责日常系统维护的调度并协调视频图像调取工作；二是要求承建单位制定运行维护服务保障方案，每月对设备进行巡检，对摄像机进行清洁，以保障全县监控系统运行完好率达95%以上，并将每月点位的考核情况与租赁及服务费用的支付相结合。</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auto"/>
        <w:rPr>
          <w:rFonts w:hint="eastAsia" w:ascii="方正黑体简体" w:hAnsi="宋体" w:eastAsia="方正黑体简体"/>
          <w:sz w:val="32"/>
          <w:szCs w:val="32"/>
          <w:lang w:val="zh-CN"/>
        </w:rPr>
      </w:pPr>
      <w:r>
        <w:rPr>
          <w:rFonts w:hint="eastAsia" w:ascii="方正黑体简体" w:hAnsi="宋体" w:eastAsia="方正黑体简体"/>
          <w:sz w:val="32"/>
          <w:szCs w:val="32"/>
        </w:rPr>
        <w:t>四、目标及绩效完成情况</w:t>
      </w:r>
      <w:r>
        <w:rPr>
          <w:rFonts w:hint="eastAsia" w:ascii="方正黑体简体" w:hAnsi="宋体" w:eastAsia="方正黑体简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bCs/>
          <w:i w:val="0"/>
          <w:iCs w:val="0"/>
          <w:caps w:val="0"/>
          <w:color w:val="191919"/>
          <w:spacing w:val="0"/>
          <w:sz w:val="32"/>
          <w:szCs w:val="32"/>
          <w:shd w:val="clear" w:color="auto" w:fill="FFFFFF"/>
          <w:lang w:val="zh-CN"/>
        </w:rPr>
      </w:pPr>
      <w:r>
        <w:rPr>
          <w:rFonts w:hint="eastAsia" w:ascii="仿宋" w:hAnsi="仿宋" w:eastAsia="仿宋" w:cs="仿宋"/>
          <w:b/>
          <w:bCs/>
          <w:i w:val="0"/>
          <w:iCs w:val="0"/>
          <w:caps w:val="0"/>
          <w:color w:val="191919"/>
          <w:spacing w:val="0"/>
          <w:sz w:val="32"/>
          <w:szCs w:val="32"/>
          <w:shd w:val="clear" w:color="auto" w:fill="FFFFFF"/>
          <w:lang w:val="zh-CN"/>
        </w:rPr>
        <w:t>（一）目标任务完成情况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22222"/>
          <w:spacing w:val="0"/>
          <w:sz w:val="32"/>
          <w:szCs w:val="32"/>
          <w:shd w:val="clear" w:color="auto" w:fill="FFFFFF"/>
          <w:lang w:val="zh-CN"/>
        </w:rPr>
      </w:pPr>
      <w:r>
        <w:rPr>
          <w:rFonts w:hint="eastAsia" w:ascii="仿宋" w:hAnsi="仿宋" w:eastAsia="仿宋" w:cs="仿宋"/>
          <w:i w:val="0"/>
          <w:iCs w:val="0"/>
          <w:caps w:val="0"/>
          <w:color w:val="222222"/>
          <w:spacing w:val="0"/>
          <w:sz w:val="32"/>
          <w:szCs w:val="32"/>
          <w:shd w:val="clear" w:color="auto" w:fill="FFFFFF"/>
          <w:lang w:val="zh-CN"/>
        </w:rPr>
        <w:t>1、长期绩效目标</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天网”工程建设，根据城区建设及社会治安的现实情况，城区重要路口、要害部位建设监控点，其中老城区37条，滨河路58条，金宝新区60条，实现全覆盖，监控点全部采用星光级枪机、球机达到200万像素，具备数据存储功能，存储时间30天，视频资源整合，智能分析功能，智能视频质量诊断功能，具有网关功能，并能实时报警，智能实战系统。切实满足公安机关日常防控、侦察破案以及行政管理等实际工作中的面上管控、线索查证、警情发现处置等应用需求。</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进行治安卡口监控系统建设，在平昌县主要出入境干道（如银丰加油站、城东大库、雪花坪、信义收费站等）建立治安卡口，采用线圈检测加视频触发捕捉的像素200成高清卡口监控系统。根据治安形势的需要，全天候实时监测道路卡口的过往车辆，自动识别车牌，不间断统计、分析车流量情况，实时全景录像。为城市治安、交通管理提供准确数据及信息。</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注重指挥中心“天网”系统平台建设，本着查询简捷、应用高效，服务实战原则，将系统平台进行网站式的升级改造。主要实现以下功能:一是时时报警功能，具备单向、双向跨越警戒面事件检测及报警;进入，离开、出现于警戒区域事件检测及报警;区域入侵检测报警;物品拿取放置检测;徘徊检测;人员聚集检测;快速移动检测;非法停车检测等。二是简捷的视频查询功能。优化组合视频数据库，实现网页式查询，使每一个没经过相关培训的侦查人员，可以在每一台公安内网电脑上，利用给定的权限，快速便捷的查询所需要的视频资料，以更好地应用于实战。三是较强的联网功能，预留接口，实现资源共享。</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0" w:firstLineChars="200"/>
        <w:jc w:val="left"/>
        <w:textAlignment w:val="auto"/>
        <w:rPr>
          <w:rFonts w:hint="eastAsia" w:ascii="仿宋" w:hAnsi="仿宋" w:eastAsia="仿宋" w:cs="仿宋"/>
          <w:i w:val="0"/>
          <w:iCs w:val="0"/>
          <w:caps w:val="0"/>
          <w:color w:val="222222"/>
          <w:spacing w:val="0"/>
          <w:sz w:val="32"/>
          <w:szCs w:val="32"/>
          <w:shd w:val="clear" w:color="auto" w:fill="FFFFFF"/>
          <w:lang w:val="zh-CN" w:eastAsia="zh-CN"/>
        </w:rPr>
      </w:pPr>
      <w:r>
        <w:rPr>
          <w:rFonts w:hint="eastAsia" w:ascii="仿宋" w:hAnsi="仿宋" w:eastAsia="仿宋" w:cs="仿宋"/>
          <w:i w:val="0"/>
          <w:iCs w:val="0"/>
          <w:caps w:val="0"/>
          <w:color w:val="222222"/>
          <w:spacing w:val="0"/>
          <w:sz w:val="32"/>
          <w:szCs w:val="32"/>
          <w:shd w:val="clear" w:color="auto" w:fill="FFFFFF"/>
        </w:rPr>
        <w:t>2</w:t>
      </w:r>
      <w:r>
        <w:rPr>
          <w:rFonts w:hint="eastAsia" w:ascii="仿宋" w:hAnsi="仿宋" w:eastAsia="仿宋" w:cs="仿宋"/>
          <w:i w:val="0"/>
          <w:iCs w:val="0"/>
          <w:caps w:val="0"/>
          <w:color w:val="222222"/>
          <w:spacing w:val="0"/>
          <w:sz w:val="32"/>
          <w:szCs w:val="32"/>
          <w:shd w:val="clear" w:color="auto" w:fill="FFFFFF"/>
          <w:lang w:val="zh-CN" w:eastAsia="zh-CN"/>
        </w:rPr>
        <w:t>、年度绩效目标完成情况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天网监控项目是由平昌县人民政府统一规划，统一公开招投标，由平昌县公安局负责全县治安电子防控系统的线路维护和租赁。天网监控运行维护租金是对当年度155个公安视频监控点及系统维护和线路租赁的年度运行费用，根据与中国移动通信集团平昌县分公司签订的《平昌县公安局“天网”项目合作协议》、《金宝新区“天网”项目合作协议》的约定，对“天网”建设的155个公安视频监控点及系统平台继续进行维护和线路租赁。治安卡口监控系统是对21个点位租赁的年度运行费用，与中国移动通信集团平昌县分公司签订的《治安卡口监控系统租赁协议》的约定，进行维护和线路租赁。</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zh-CN" w:eastAsia="zh-CN" w:bidi="ar-SA"/>
        </w:rPr>
      </w:pPr>
      <w:r>
        <w:rPr>
          <w:rFonts w:hint="eastAsia" w:ascii="仿宋" w:hAnsi="仿宋" w:eastAsia="仿宋" w:cs="仿宋"/>
          <w:b w:val="0"/>
          <w:bCs/>
          <w:kern w:val="2"/>
          <w:sz w:val="32"/>
          <w:szCs w:val="32"/>
          <w:lang w:val="en-US" w:eastAsia="zh-CN" w:bidi="ar-SA"/>
        </w:rPr>
        <w:t>2021年，为保障“天网”监控、治安卡口设备的正常运转，平昌县公安局支付给中国移动通信集团四川有限公司平昌分公司租金300.96万元。</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bCs/>
          <w:i w:val="0"/>
          <w:iCs w:val="0"/>
          <w:caps w:val="0"/>
          <w:color w:val="191919"/>
          <w:spacing w:val="0"/>
          <w:sz w:val="32"/>
          <w:szCs w:val="32"/>
          <w:shd w:val="clear" w:color="auto" w:fill="FFFFFF"/>
          <w:lang w:val="zh-CN"/>
        </w:rPr>
      </w:pPr>
      <w:r>
        <w:rPr>
          <w:rFonts w:hint="eastAsia" w:ascii="仿宋" w:hAnsi="仿宋" w:eastAsia="仿宋" w:cs="仿宋"/>
          <w:b/>
          <w:bCs/>
          <w:i w:val="0"/>
          <w:iCs w:val="0"/>
          <w:caps w:val="0"/>
          <w:color w:val="191919"/>
          <w:spacing w:val="0"/>
          <w:sz w:val="32"/>
          <w:szCs w:val="32"/>
          <w:shd w:val="clear" w:color="auto" w:fill="FFFFFF"/>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天网”建设的实战表现为公安机关通过监控平台，可以对城市各街道辖区的主要道路、重点单位、热点部位进行24小时监控，可有效消除治安隐患，使发现、抓捕街面现行犯罪的水平得到提高。现在“天网监控系统”是“科技强警”的标志性工程，也是平安城市和智慧城市建设的重要组成部门。“天网”建设能够稳定社会治安，传统治安管理手段已不适应当前社会治安形势和公安机关工作需要。”天网”和治安卡口利用科技手段，震慑预防一大批犯罪案件的发生，在实施运行过程中能够精准的抓取信息，为公安机关破获案件提供了一把“利剑”。提高了社会的文明程度，人民安全感满意度上升。</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ascii="楷体_GB2312" w:hAnsi="宋体" w:eastAsia="楷体_GB2312"/>
          <w:b/>
          <w:sz w:val="32"/>
          <w:szCs w:val="32"/>
          <w:lang w:val="zh-CN"/>
        </w:rPr>
      </w:pPr>
      <w:r>
        <w:rPr>
          <w:rFonts w:hint="eastAsia" w:ascii="黑体" w:hAnsi="宋体" w:eastAsia="黑体"/>
          <w:sz w:val="32"/>
          <w:szCs w:val="32"/>
        </w:rPr>
        <w:t>五、评价结论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left="0" w:right="0" w:firstLine="420"/>
        <w:jc w:val="left"/>
        <w:textAlignment w:val="auto"/>
        <w:rPr>
          <w:rFonts w:hint="eastAsia" w:ascii="仿宋" w:hAnsi="仿宋" w:eastAsia="仿宋" w:cs="仿宋"/>
          <w:i w:val="0"/>
          <w:iCs w:val="0"/>
          <w:caps w:val="0"/>
          <w:color w:val="222222"/>
          <w:spacing w:val="0"/>
          <w:sz w:val="32"/>
          <w:szCs w:val="32"/>
        </w:rPr>
      </w:pPr>
      <w:r>
        <w:rPr>
          <w:rStyle w:val="18"/>
          <w:rFonts w:hint="eastAsia" w:ascii="仿宋" w:hAnsi="仿宋" w:eastAsia="仿宋" w:cs="仿宋"/>
          <w:b/>
          <w:bCs/>
          <w:i w:val="0"/>
          <w:iCs w:val="0"/>
          <w:caps w:val="0"/>
          <w:color w:val="222222"/>
          <w:spacing w:val="0"/>
          <w:sz w:val="32"/>
          <w:szCs w:val="32"/>
          <w:shd w:val="clear" w:color="auto" w:fill="FFFFFF"/>
        </w:rPr>
        <w:t>1、</w:t>
      </w:r>
      <w:r>
        <w:rPr>
          <w:rStyle w:val="18"/>
          <w:rFonts w:hint="eastAsia" w:ascii="仿宋" w:hAnsi="仿宋" w:eastAsia="仿宋" w:cs="仿宋"/>
          <w:b/>
          <w:bCs/>
          <w:i w:val="0"/>
          <w:iCs w:val="0"/>
          <w:caps w:val="0"/>
          <w:color w:val="222222"/>
          <w:spacing w:val="0"/>
          <w:sz w:val="32"/>
          <w:szCs w:val="32"/>
          <w:shd w:val="clear" w:color="auto" w:fill="FFFFFF"/>
          <w:lang w:eastAsia="zh-CN"/>
        </w:rPr>
        <w:t>项目决策</w:t>
      </w:r>
      <w:r>
        <w:rPr>
          <w:rStyle w:val="18"/>
          <w:rFonts w:hint="eastAsia" w:ascii="仿宋" w:hAnsi="仿宋" w:eastAsia="仿宋" w:cs="仿宋"/>
          <w:b/>
          <w:bCs/>
          <w:i w:val="0"/>
          <w:iCs w:val="0"/>
          <w:caps w:val="0"/>
          <w:color w:val="222222"/>
          <w:spacing w:val="0"/>
          <w:sz w:val="32"/>
          <w:szCs w:val="32"/>
          <w:shd w:val="clear" w:color="auto" w:fill="FFFFFF"/>
        </w:rPr>
        <w:t>：</w:t>
      </w:r>
      <w:r>
        <w:rPr>
          <w:rFonts w:hint="eastAsia" w:ascii="仿宋" w:hAnsi="仿宋" w:eastAsia="仿宋" w:cs="仿宋"/>
          <w:i w:val="0"/>
          <w:iCs w:val="0"/>
          <w:caps w:val="0"/>
          <w:color w:val="222222"/>
          <w:spacing w:val="0"/>
          <w:sz w:val="32"/>
          <w:szCs w:val="32"/>
          <w:shd w:val="clear" w:color="auto" w:fill="FFFFFF"/>
        </w:rPr>
        <w:t>该指标总分2</w:t>
      </w:r>
      <w:r>
        <w:rPr>
          <w:rFonts w:hint="eastAsia" w:ascii="仿宋" w:hAnsi="仿宋" w:eastAsia="仿宋" w:cs="仿宋"/>
          <w:i w:val="0"/>
          <w:iCs w:val="0"/>
          <w:caps w:val="0"/>
          <w:color w:val="222222"/>
          <w:spacing w:val="0"/>
          <w:sz w:val="32"/>
          <w:szCs w:val="32"/>
          <w:shd w:val="clear" w:color="auto" w:fill="FFFFFF"/>
          <w:lang w:val="en-US" w:eastAsia="zh-CN"/>
        </w:rPr>
        <w:t>0</w:t>
      </w:r>
      <w:r>
        <w:rPr>
          <w:rFonts w:hint="eastAsia" w:ascii="仿宋" w:hAnsi="仿宋" w:eastAsia="仿宋" w:cs="仿宋"/>
          <w:i w:val="0"/>
          <w:iCs w:val="0"/>
          <w:caps w:val="0"/>
          <w:color w:val="222222"/>
          <w:spacing w:val="0"/>
          <w:sz w:val="32"/>
          <w:szCs w:val="32"/>
          <w:shd w:val="clear" w:color="auto" w:fill="FFFFFF"/>
        </w:rPr>
        <w:t>分，评价得分</w:t>
      </w:r>
      <w:r>
        <w:rPr>
          <w:rFonts w:hint="eastAsia" w:ascii="仿宋" w:hAnsi="仿宋" w:eastAsia="仿宋" w:cs="仿宋"/>
          <w:i w:val="0"/>
          <w:iCs w:val="0"/>
          <w:caps w:val="0"/>
          <w:color w:val="222222"/>
          <w:spacing w:val="0"/>
          <w:sz w:val="32"/>
          <w:szCs w:val="32"/>
          <w:shd w:val="clear" w:color="auto" w:fill="FFFFFF"/>
          <w:lang w:val="en-US" w:eastAsia="zh-CN"/>
        </w:rPr>
        <w:t>17.5</w:t>
      </w:r>
      <w:r>
        <w:rPr>
          <w:rFonts w:hint="eastAsia" w:ascii="仿宋" w:hAnsi="仿宋" w:eastAsia="仿宋" w:cs="仿宋"/>
          <w:i w:val="0"/>
          <w:iCs w:val="0"/>
          <w:caps w:val="0"/>
          <w:color w:val="222222"/>
          <w:spacing w:val="0"/>
          <w:sz w:val="32"/>
          <w:szCs w:val="32"/>
          <w:shd w:val="clear" w:color="auto" w:fill="FFFFFF"/>
        </w:rPr>
        <w:t>分。项目设立合规，绩评价指标合理、明确，但是项目未通过清晰、可衡量的指标值将绩效目标反映出来，一些指标不具有量化可测性。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left="0" w:right="0" w:firstLine="420"/>
        <w:jc w:val="left"/>
        <w:textAlignment w:val="auto"/>
        <w:rPr>
          <w:rFonts w:hint="eastAsia" w:ascii="仿宋" w:hAnsi="仿宋" w:eastAsia="仿宋" w:cs="仿宋"/>
          <w:i w:val="0"/>
          <w:iCs w:val="0"/>
          <w:caps w:val="0"/>
          <w:color w:val="222222"/>
          <w:spacing w:val="0"/>
          <w:sz w:val="32"/>
          <w:szCs w:val="32"/>
        </w:rPr>
      </w:pPr>
      <w:r>
        <w:rPr>
          <w:rStyle w:val="18"/>
          <w:rFonts w:hint="eastAsia" w:ascii="仿宋" w:hAnsi="仿宋" w:eastAsia="仿宋" w:cs="仿宋"/>
          <w:b/>
          <w:bCs/>
          <w:i w:val="0"/>
          <w:iCs w:val="0"/>
          <w:caps w:val="0"/>
          <w:color w:val="222222"/>
          <w:spacing w:val="0"/>
          <w:sz w:val="32"/>
          <w:szCs w:val="32"/>
          <w:shd w:val="clear" w:color="auto" w:fill="FFFFFF"/>
        </w:rPr>
        <w:t>2、</w:t>
      </w:r>
      <w:r>
        <w:rPr>
          <w:rStyle w:val="18"/>
          <w:rFonts w:hint="eastAsia" w:ascii="仿宋" w:hAnsi="仿宋" w:eastAsia="仿宋" w:cs="仿宋"/>
          <w:b/>
          <w:bCs/>
          <w:i w:val="0"/>
          <w:iCs w:val="0"/>
          <w:caps w:val="0"/>
          <w:color w:val="222222"/>
          <w:spacing w:val="0"/>
          <w:sz w:val="32"/>
          <w:szCs w:val="32"/>
          <w:shd w:val="clear" w:color="auto" w:fill="FFFFFF"/>
          <w:lang w:eastAsia="zh-CN"/>
        </w:rPr>
        <w:t>项目管理</w:t>
      </w:r>
      <w:r>
        <w:rPr>
          <w:rStyle w:val="18"/>
          <w:rFonts w:hint="eastAsia" w:ascii="仿宋" w:hAnsi="仿宋" w:eastAsia="仿宋" w:cs="仿宋"/>
          <w:b/>
          <w:bCs/>
          <w:i w:val="0"/>
          <w:iCs w:val="0"/>
          <w:caps w:val="0"/>
          <w:color w:val="222222"/>
          <w:spacing w:val="0"/>
          <w:sz w:val="32"/>
          <w:szCs w:val="32"/>
          <w:shd w:val="clear" w:color="auto" w:fill="FFFFFF"/>
        </w:rPr>
        <w:t>：</w:t>
      </w:r>
      <w:r>
        <w:rPr>
          <w:rFonts w:hint="eastAsia" w:ascii="仿宋" w:hAnsi="仿宋" w:eastAsia="仿宋" w:cs="仿宋"/>
          <w:i w:val="0"/>
          <w:iCs w:val="0"/>
          <w:caps w:val="0"/>
          <w:color w:val="222222"/>
          <w:spacing w:val="0"/>
          <w:sz w:val="32"/>
          <w:szCs w:val="32"/>
          <w:shd w:val="clear" w:color="auto" w:fill="FFFFFF"/>
        </w:rPr>
        <w:t>项目过程总分</w:t>
      </w:r>
      <w:r>
        <w:rPr>
          <w:rFonts w:hint="eastAsia" w:ascii="仿宋" w:hAnsi="仿宋" w:eastAsia="仿宋" w:cs="仿宋"/>
          <w:i w:val="0"/>
          <w:iCs w:val="0"/>
          <w:caps w:val="0"/>
          <w:color w:val="222222"/>
          <w:spacing w:val="0"/>
          <w:sz w:val="32"/>
          <w:szCs w:val="32"/>
          <w:shd w:val="clear" w:color="auto" w:fill="FFFFFF"/>
          <w:lang w:val="en-US" w:eastAsia="zh-CN"/>
        </w:rPr>
        <w:t>30</w:t>
      </w:r>
      <w:r>
        <w:rPr>
          <w:rFonts w:hint="eastAsia" w:ascii="仿宋" w:hAnsi="仿宋" w:eastAsia="仿宋" w:cs="仿宋"/>
          <w:i w:val="0"/>
          <w:iCs w:val="0"/>
          <w:caps w:val="0"/>
          <w:color w:val="222222"/>
          <w:spacing w:val="0"/>
          <w:sz w:val="32"/>
          <w:szCs w:val="32"/>
          <w:shd w:val="clear" w:color="auto" w:fill="FFFFFF"/>
        </w:rPr>
        <w:t>分，评价得分</w:t>
      </w:r>
      <w:r>
        <w:rPr>
          <w:rFonts w:hint="eastAsia" w:ascii="仿宋" w:hAnsi="仿宋" w:eastAsia="仿宋" w:cs="仿宋"/>
          <w:i w:val="0"/>
          <w:iCs w:val="0"/>
          <w:caps w:val="0"/>
          <w:color w:val="222222"/>
          <w:spacing w:val="0"/>
          <w:sz w:val="32"/>
          <w:szCs w:val="32"/>
          <w:shd w:val="clear" w:color="auto" w:fill="FFFFFF"/>
          <w:lang w:val="en-US" w:eastAsia="zh-CN"/>
        </w:rPr>
        <w:t>27.5</w:t>
      </w:r>
      <w:r>
        <w:rPr>
          <w:rFonts w:hint="eastAsia" w:ascii="仿宋" w:hAnsi="仿宋" w:eastAsia="仿宋" w:cs="仿宋"/>
          <w:i w:val="0"/>
          <w:iCs w:val="0"/>
          <w:caps w:val="0"/>
          <w:color w:val="222222"/>
          <w:spacing w:val="0"/>
          <w:sz w:val="32"/>
          <w:szCs w:val="32"/>
          <w:shd w:val="clear" w:color="auto" w:fill="FFFFFF"/>
        </w:rPr>
        <w:t>分。</w:t>
      </w:r>
      <w:r>
        <w:rPr>
          <w:rFonts w:hint="eastAsia" w:ascii="仿宋" w:hAnsi="仿宋" w:eastAsia="仿宋" w:cs="仿宋"/>
          <w:i w:val="0"/>
          <w:iCs w:val="0"/>
          <w:caps w:val="0"/>
          <w:color w:val="222222"/>
          <w:spacing w:val="0"/>
          <w:sz w:val="32"/>
          <w:szCs w:val="32"/>
          <w:shd w:val="clear" w:color="auto" w:fill="FFFFFF"/>
          <w:lang w:eastAsia="zh-CN"/>
        </w:rPr>
        <w:t>平昌</w:t>
      </w:r>
      <w:r>
        <w:rPr>
          <w:rFonts w:hint="eastAsia" w:ascii="仿宋" w:hAnsi="仿宋" w:eastAsia="仿宋" w:cs="仿宋"/>
          <w:i w:val="0"/>
          <w:iCs w:val="0"/>
          <w:caps w:val="0"/>
          <w:color w:val="222222"/>
          <w:spacing w:val="0"/>
          <w:sz w:val="32"/>
          <w:szCs w:val="32"/>
          <w:shd w:val="clear" w:color="auto" w:fill="FFFFFF"/>
        </w:rPr>
        <w:t>县公安局虽然建立有各项管理制度、实施计划、操作流程，但是由于项目组织落实有偏差。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left="0" w:right="0" w:firstLine="420"/>
        <w:jc w:val="left"/>
        <w:textAlignment w:val="auto"/>
        <w:rPr>
          <w:rFonts w:hint="eastAsia" w:ascii="仿宋" w:hAnsi="仿宋" w:eastAsia="仿宋" w:cs="仿宋"/>
          <w:b w:val="0"/>
          <w:bCs/>
          <w:kern w:val="2"/>
          <w:sz w:val="32"/>
          <w:szCs w:val="32"/>
          <w:lang w:val="en-US" w:eastAsia="zh-CN" w:bidi="ar-SA"/>
        </w:rPr>
      </w:pPr>
      <w:r>
        <w:rPr>
          <w:rStyle w:val="18"/>
          <w:rFonts w:hint="eastAsia" w:ascii="仿宋" w:hAnsi="仿宋" w:eastAsia="仿宋" w:cs="仿宋"/>
          <w:b/>
          <w:bCs/>
          <w:i w:val="0"/>
          <w:iCs w:val="0"/>
          <w:caps w:val="0"/>
          <w:color w:val="222222"/>
          <w:spacing w:val="0"/>
          <w:sz w:val="32"/>
          <w:szCs w:val="32"/>
          <w:shd w:val="clear" w:color="auto" w:fill="FFFFFF"/>
        </w:rPr>
        <w:t>3、</w:t>
      </w:r>
      <w:r>
        <w:rPr>
          <w:rStyle w:val="18"/>
          <w:rFonts w:hint="eastAsia" w:ascii="仿宋" w:hAnsi="仿宋" w:eastAsia="仿宋" w:cs="仿宋"/>
          <w:b/>
          <w:bCs/>
          <w:i w:val="0"/>
          <w:iCs w:val="0"/>
          <w:caps w:val="0"/>
          <w:color w:val="222222"/>
          <w:spacing w:val="0"/>
          <w:sz w:val="32"/>
          <w:szCs w:val="32"/>
          <w:shd w:val="clear" w:color="auto" w:fill="FFFFFF"/>
          <w:lang w:eastAsia="zh-CN"/>
        </w:rPr>
        <w:t>目标完成</w:t>
      </w:r>
      <w:r>
        <w:rPr>
          <w:rStyle w:val="18"/>
          <w:rFonts w:hint="eastAsia" w:ascii="仿宋" w:hAnsi="仿宋" w:eastAsia="仿宋" w:cs="仿宋"/>
          <w:b/>
          <w:bCs/>
          <w:i w:val="0"/>
          <w:iCs w:val="0"/>
          <w:caps w:val="0"/>
          <w:color w:val="222222"/>
          <w:spacing w:val="0"/>
          <w:sz w:val="32"/>
          <w:szCs w:val="32"/>
          <w:shd w:val="clear" w:color="auto" w:fill="FFFFFF"/>
        </w:rPr>
        <w:t>：</w:t>
      </w:r>
      <w:r>
        <w:rPr>
          <w:rFonts w:hint="eastAsia" w:ascii="仿宋" w:hAnsi="仿宋" w:eastAsia="仿宋" w:cs="仿宋"/>
          <w:b w:val="0"/>
          <w:bCs/>
          <w:kern w:val="2"/>
          <w:sz w:val="32"/>
          <w:szCs w:val="32"/>
          <w:lang w:val="en-US" w:eastAsia="zh-CN" w:bidi="ar-SA"/>
        </w:rPr>
        <w:t>项目产出总分20分，评价得分20分。实现了项目绩效目标的基本要求，全县主要道路、重点部位和城外卡口监控摄像头建设实现全覆盖，工程质量达到标准、设计要求，有关公示资料或记录等进行了专门公示，提升了公安队伍的战斗力，起到了为全县社会治安保驾护航的作用。但是目前项目表现监控视频有效利用率尚存在不足。</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left="0" w:right="0" w:firstLine="420"/>
        <w:jc w:val="left"/>
        <w:textAlignment w:val="auto"/>
        <w:rPr>
          <w:rFonts w:hint="eastAsia" w:ascii="仿宋" w:hAnsi="仿宋" w:eastAsia="仿宋" w:cs="仿宋"/>
          <w:b w:val="0"/>
          <w:bCs/>
          <w:kern w:val="2"/>
          <w:sz w:val="32"/>
          <w:szCs w:val="32"/>
          <w:lang w:val="en-US" w:eastAsia="zh-CN" w:bidi="ar-SA"/>
        </w:rPr>
      </w:pPr>
      <w:r>
        <w:rPr>
          <w:rStyle w:val="18"/>
          <w:rFonts w:hint="eastAsia" w:ascii="仿宋" w:hAnsi="仿宋" w:eastAsia="仿宋" w:cs="仿宋"/>
          <w:b/>
          <w:bCs/>
          <w:i w:val="0"/>
          <w:iCs w:val="0"/>
          <w:caps w:val="0"/>
          <w:color w:val="222222"/>
          <w:spacing w:val="0"/>
          <w:sz w:val="32"/>
          <w:szCs w:val="32"/>
          <w:shd w:val="clear" w:color="auto" w:fill="FFFFFF"/>
        </w:rPr>
        <w:t>4、</w:t>
      </w:r>
      <w:r>
        <w:rPr>
          <w:rStyle w:val="18"/>
          <w:rFonts w:hint="eastAsia" w:ascii="仿宋" w:hAnsi="仿宋" w:eastAsia="仿宋" w:cs="仿宋"/>
          <w:b/>
          <w:bCs/>
          <w:i w:val="0"/>
          <w:iCs w:val="0"/>
          <w:caps w:val="0"/>
          <w:color w:val="222222"/>
          <w:spacing w:val="0"/>
          <w:sz w:val="32"/>
          <w:szCs w:val="32"/>
          <w:shd w:val="clear" w:color="auto" w:fill="FFFFFF"/>
          <w:lang w:eastAsia="zh-CN"/>
        </w:rPr>
        <w:t>项目</w:t>
      </w:r>
      <w:r>
        <w:rPr>
          <w:rStyle w:val="18"/>
          <w:rFonts w:hint="eastAsia" w:ascii="仿宋" w:hAnsi="仿宋" w:eastAsia="仿宋" w:cs="仿宋"/>
          <w:b/>
          <w:bCs/>
          <w:i w:val="0"/>
          <w:iCs w:val="0"/>
          <w:caps w:val="0"/>
          <w:color w:val="222222"/>
          <w:spacing w:val="0"/>
          <w:sz w:val="32"/>
          <w:szCs w:val="32"/>
          <w:shd w:val="clear" w:color="auto" w:fill="FFFFFF"/>
        </w:rPr>
        <w:t>效益：</w:t>
      </w:r>
      <w:r>
        <w:rPr>
          <w:rFonts w:hint="eastAsia" w:ascii="仿宋" w:hAnsi="仿宋" w:eastAsia="仿宋" w:cs="仿宋"/>
          <w:b w:val="0"/>
          <w:bCs/>
          <w:kern w:val="2"/>
          <w:sz w:val="32"/>
          <w:szCs w:val="32"/>
          <w:lang w:val="en-US" w:eastAsia="zh-CN" w:bidi="ar-SA"/>
        </w:rPr>
        <w:t>项目效益总分30分，评价得分27分。项目取得了预期的效果，社会治安秩序稳定，减轻了地方政府社会管理的负担，促进了社会和谐发展，提升了政府管理社会的能力和形象，对“平安社会”建设和公安工作带来持续影响，为项目绩效目标的实现提供了保障。</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sz w:val="32"/>
          <w:szCs w:val="32"/>
        </w:rPr>
      </w:pPr>
      <w:r>
        <w:rPr>
          <w:rFonts w:hint="eastAsia" w:ascii="黑体" w:hAnsi="宋体" w:eastAsia="黑体"/>
          <w:sz w:val="32"/>
          <w:szCs w:val="32"/>
        </w:rPr>
        <w:t>六、存在的问题及建议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3" w:firstLineChars="200"/>
        <w:jc w:val="left"/>
        <w:textAlignment w:val="auto"/>
        <w:rPr>
          <w:rFonts w:hint="eastAsia" w:ascii="仿宋" w:hAnsi="仿宋" w:eastAsia="仿宋" w:cs="仿宋"/>
          <w:b/>
          <w:bCs/>
          <w:i w:val="0"/>
          <w:iCs w:val="0"/>
          <w:caps w:val="0"/>
          <w:color w:val="222222"/>
          <w:spacing w:val="0"/>
          <w:sz w:val="32"/>
          <w:szCs w:val="32"/>
          <w:shd w:val="clear" w:color="auto" w:fill="FFFFFF"/>
        </w:rPr>
      </w:pPr>
      <w:r>
        <w:rPr>
          <w:rFonts w:hint="eastAsia" w:ascii="仿宋" w:hAnsi="仿宋" w:eastAsia="仿宋" w:cs="仿宋"/>
          <w:b/>
          <w:bCs/>
          <w:i w:val="0"/>
          <w:iCs w:val="0"/>
          <w:caps w:val="0"/>
          <w:color w:val="222222"/>
          <w:spacing w:val="0"/>
          <w:sz w:val="32"/>
          <w:szCs w:val="32"/>
          <w:shd w:val="clear" w:color="auto" w:fill="FFFFFF"/>
          <w:lang w:val="zh-CN"/>
        </w:rPr>
        <w:t>（一）存在的问题</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对社会面视频监控资源的利用效率较低。目前系统接入的监控点均为公安自建部分，数量有限，从平昌县全局安全管理角度需将其他专业部门自建监控点资源和社会面监控点资源进行整合接入，拓展公安可供管控视频的覆盖面。</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en-US" w:eastAsia="zh-CN"/>
        </w:rPr>
        <w:t>2.财务核算有待加强。预算资金收支缺少明细核算，不能清晰地反映各项预算执行情况，削弱了预算管理的功效，影响对项目资金绩效评价的准确性。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atLeast"/>
        <w:ind w:right="0" w:firstLine="643" w:firstLineChars="200"/>
        <w:jc w:val="left"/>
        <w:textAlignment w:val="auto"/>
        <w:rPr>
          <w:rFonts w:hint="eastAsia" w:ascii="仿宋" w:hAnsi="仿宋" w:eastAsia="仿宋" w:cs="仿宋"/>
          <w:b/>
          <w:bCs/>
          <w:i w:val="0"/>
          <w:iCs w:val="0"/>
          <w:caps w:val="0"/>
          <w:color w:val="222222"/>
          <w:spacing w:val="0"/>
          <w:sz w:val="32"/>
          <w:szCs w:val="32"/>
          <w:shd w:val="clear" w:color="auto" w:fill="FFFFFF"/>
          <w:lang w:val="zh-CN" w:eastAsia="zh-CN"/>
        </w:rPr>
      </w:pPr>
      <w:r>
        <w:rPr>
          <w:rFonts w:hint="eastAsia" w:ascii="仿宋" w:hAnsi="仿宋" w:eastAsia="仿宋" w:cs="仿宋"/>
          <w:b/>
          <w:bCs/>
          <w:i w:val="0"/>
          <w:iCs w:val="0"/>
          <w:caps w:val="0"/>
          <w:color w:val="222222"/>
          <w:spacing w:val="0"/>
          <w:sz w:val="32"/>
          <w:szCs w:val="32"/>
          <w:shd w:val="clear" w:color="auto" w:fill="FFFFFF"/>
          <w:lang w:val="zh-CN" w:eastAsia="zh-CN"/>
        </w:rPr>
        <w:t>（二）相关建议</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val="zh-CN" w:eastAsia="zh-CN"/>
        </w:rPr>
        <w:t>整合系统资源，将各有关部门的电子监控资源互联互通，充分实现资源共享。坚持“政府主导、公安牵头、部门协同、社会参与及统一规划、统一平台、统一管理、集中采购、县区分担、规范接入”的原则进行建设，以实际需求为导向，围绕实战应用、技术建设、工作机制等环节，注重原有投资的有效性、新旧技术的兼容性、实战应用的可操作性，避免重复建设造成的资源闲置浪费。</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val="zh-CN" w:eastAsia="zh-CN"/>
        </w:rPr>
        <w:t>以科学发展观为指导，以“多破案、快破案、办好案”为总体目标，结合项目实际情况，制定专项资金管理实施细则，加强资金预算管理，明确资金分配标准、办法、程序，对资金使用情况进行跟踪调度，真正实现“互联互通、快速便捷”。</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rPr>
      </w:pPr>
    </w:p>
    <w:p>
      <w:pPr>
        <w:pStyle w:val="36"/>
        <w:keepNext w:val="0"/>
        <w:keepLines w:val="0"/>
        <w:pageBreakBefore w:val="0"/>
        <w:widowControl w:val="0"/>
        <w:kinsoku/>
        <w:wordWrap/>
        <w:overflowPunct/>
        <w:topLinePunct w:val="0"/>
        <w:autoSpaceDE/>
        <w:autoSpaceDN/>
        <w:bidi w:val="0"/>
        <w:spacing w:line="560" w:lineRule="atLeast"/>
        <w:jc w:val="center"/>
        <w:textAlignment w:val="auto"/>
        <w:rPr>
          <w:rFonts w:hint="eastAsia" w:ascii="方正小标宋简体" w:hAnsi="宋体" w:eastAsia="方正小标宋简体"/>
          <w:sz w:val="44"/>
          <w:szCs w:val="44"/>
          <w:lang w:val="en-US" w:eastAsia="zh-CN"/>
        </w:rPr>
      </w:pPr>
    </w:p>
    <w:p>
      <w:pPr>
        <w:pStyle w:val="36"/>
        <w:keepNext w:val="0"/>
        <w:keepLines w:val="0"/>
        <w:pageBreakBefore w:val="0"/>
        <w:widowControl w:val="0"/>
        <w:kinsoku/>
        <w:wordWrap/>
        <w:overflowPunct/>
        <w:topLinePunct w:val="0"/>
        <w:autoSpaceDE/>
        <w:autoSpaceDN/>
        <w:bidi w:val="0"/>
        <w:spacing w:line="560" w:lineRule="atLeast"/>
        <w:jc w:val="center"/>
        <w:textAlignment w:val="auto"/>
        <w:rPr>
          <w:rFonts w:hint="eastAsia" w:ascii="方正小标宋简体" w:hAnsi="宋体" w:eastAsia="方正小标宋简体"/>
          <w:sz w:val="44"/>
          <w:szCs w:val="44"/>
          <w:lang w:val="en-US" w:eastAsia="zh-CN"/>
        </w:rPr>
      </w:pPr>
    </w:p>
    <w:p>
      <w:pPr>
        <w:pStyle w:val="36"/>
        <w:keepNext w:val="0"/>
        <w:keepLines w:val="0"/>
        <w:pageBreakBefore w:val="0"/>
        <w:widowControl w:val="0"/>
        <w:kinsoku/>
        <w:wordWrap/>
        <w:overflowPunct/>
        <w:topLinePunct w:val="0"/>
        <w:autoSpaceDE/>
        <w:autoSpaceDN/>
        <w:bidi w:val="0"/>
        <w:spacing w:line="560" w:lineRule="atLeast"/>
        <w:jc w:val="both"/>
        <w:textAlignment w:val="auto"/>
        <w:rPr>
          <w:rFonts w:hint="default" w:ascii="方正小标宋简体" w:hAnsi="宋体" w:eastAsia="方正小标宋简体"/>
          <w:sz w:val="32"/>
          <w:szCs w:val="32"/>
          <w:lang w:val="en-US" w:eastAsia="zh-CN"/>
        </w:rPr>
      </w:pPr>
    </w:p>
    <w:p>
      <w:pPr>
        <w:pStyle w:val="36"/>
        <w:keepNext w:val="0"/>
        <w:keepLines w:val="0"/>
        <w:pageBreakBefore w:val="0"/>
        <w:widowControl w:val="0"/>
        <w:kinsoku/>
        <w:wordWrap/>
        <w:overflowPunct/>
        <w:topLinePunct w:val="0"/>
        <w:autoSpaceDE/>
        <w:autoSpaceDN/>
        <w:bidi w:val="0"/>
        <w:spacing w:line="560" w:lineRule="atLeast"/>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eastAsia="zh-CN"/>
        </w:rPr>
        <w:t>平昌县公安局</w:t>
      </w:r>
    </w:p>
    <w:p>
      <w:pPr>
        <w:pStyle w:val="36"/>
        <w:keepNext w:val="0"/>
        <w:keepLines w:val="0"/>
        <w:pageBreakBefore w:val="0"/>
        <w:widowControl w:val="0"/>
        <w:kinsoku/>
        <w:wordWrap/>
        <w:overflowPunct/>
        <w:topLinePunct w:val="0"/>
        <w:autoSpaceDE/>
        <w:autoSpaceDN/>
        <w:bidi w:val="0"/>
        <w:spacing w:line="560" w:lineRule="atLeas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看守所建设项目</w:t>
      </w:r>
      <w:r>
        <w:rPr>
          <w:rFonts w:hint="eastAsia" w:ascii="方正小标宋简体" w:hAnsi="宋体" w:eastAsia="方正小标宋简体"/>
          <w:sz w:val="44"/>
          <w:szCs w:val="44"/>
        </w:rPr>
        <w:t>支出绩效评价报告</w:t>
      </w:r>
    </w:p>
    <w:p>
      <w:pPr>
        <w:pStyle w:val="36"/>
        <w:keepNext w:val="0"/>
        <w:keepLines w:val="0"/>
        <w:pageBreakBefore w:val="0"/>
        <w:widowControl w:val="0"/>
        <w:kinsoku/>
        <w:wordWrap/>
        <w:overflowPunct/>
        <w:topLinePunct w:val="0"/>
        <w:autoSpaceDE/>
        <w:autoSpaceDN/>
        <w:bidi w:val="0"/>
        <w:spacing w:line="560" w:lineRule="atLeast"/>
        <w:jc w:val="center"/>
        <w:textAlignment w:val="auto"/>
        <w:rPr>
          <w:rFonts w:hint="eastAsia" w:ascii="方正小标宋简体" w:hAnsi="宋体" w:eastAsia="方正小标宋简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ascii="方正楷体简体" w:hAnsi="楷体" w:eastAsia="方正楷体简体"/>
          <w:sz w:val="32"/>
          <w:szCs w:val="32"/>
          <w:lang w:val="zh-CN"/>
        </w:rPr>
      </w:pPr>
      <w:r>
        <w:rPr>
          <w:rFonts w:hint="eastAsia" w:ascii="方正楷体简体" w:hAnsi="楷体" w:eastAsia="方正楷体简体"/>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1．项目主管部门的职能</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zh-CN" w:eastAsia="zh-CN"/>
        </w:rPr>
        <w:t>看守所是依法羁押被逮捕、刑事拘留的犯罪嫌疑人、被告人和一审判处死刑的罪犯以及判处有期徒刑在交付执行刑罚前、余刑在一年以下的留所服刑罪犯的机关，是国家政权建设的重要组成部分，是树立党和国家形象的重要窗口。看守所依据国家法律，对在押人员实行武装警戒看守，保障安全，同时担负着对在押人员进行管理、教育改造，管理在押人员的生活卫生，保障侦查、起诉和审判工作顺利进行的任务。</w:t>
      </w:r>
    </w:p>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项目立项、资金申报的依据</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根据平昌县城乡规划委员会第十七期《县规委会三届十七资规划评审会议纪要》、川府土【</w:t>
      </w:r>
      <w:r>
        <w:rPr>
          <w:rFonts w:hint="eastAsia" w:ascii="仿宋" w:hAnsi="仿宋" w:eastAsia="仿宋" w:cs="仿宋"/>
          <w:b w:val="0"/>
          <w:bCs/>
          <w:sz w:val="32"/>
          <w:szCs w:val="32"/>
          <w:lang w:val="en-US" w:eastAsia="zh-CN"/>
        </w:rPr>
        <w:t>2013】573号《关于平昌县2013年第2批城市建设用地的批复》、</w:t>
      </w:r>
      <w:r>
        <w:rPr>
          <w:rFonts w:hint="eastAsia" w:ascii="仿宋" w:hAnsi="仿宋" w:eastAsia="仿宋" w:cs="仿宋"/>
          <w:b w:val="0"/>
          <w:bCs/>
          <w:sz w:val="32"/>
          <w:szCs w:val="32"/>
          <w:lang w:val="zh-CN" w:eastAsia="zh-CN"/>
        </w:rPr>
        <w:t>平发改审【</w:t>
      </w:r>
      <w:r>
        <w:rPr>
          <w:rFonts w:hint="eastAsia" w:ascii="仿宋" w:hAnsi="仿宋" w:eastAsia="仿宋" w:cs="仿宋"/>
          <w:b w:val="0"/>
          <w:bCs/>
          <w:sz w:val="32"/>
          <w:szCs w:val="32"/>
          <w:lang w:val="en-US" w:eastAsia="zh-CN"/>
        </w:rPr>
        <w:t>2013】48号《关于同意平昌县看守所建设项目开展前期工作的通知》的相关规定，此通知作为项目立项、资金申报的依据。</w:t>
      </w:r>
    </w:p>
    <w:p>
      <w:pPr>
        <w:keepNext w:val="0"/>
        <w:keepLines w:val="0"/>
        <w:pageBreakBefore w:val="0"/>
        <w:widowControl w:val="0"/>
        <w:numPr>
          <w:ilvl w:val="0"/>
          <w:numId w:val="7"/>
        </w:numPr>
        <w:kinsoku/>
        <w:wordWrap/>
        <w:overflowPunct/>
        <w:topLinePunct w:val="0"/>
        <w:autoSpaceDE/>
        <w:autoSpaceDN/>
        <w:bidi w:val="0"/>
        <w:adjustRightInd w:val="0"/>
        <w:snapToGrid w:val="0"/>
        <w:spacing w:line="560" w:lineRule="atLeast"/>
        <w:ind w:left="0" w:leftChars="0" w:firstLine="720" w:firstLineChars="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zh-CN" w:eastAsia="zh-CN"/>
        </w:rPr>
        <w:t>该项目由平昌县人民政府通过招商引资，确定四川瑜泰房地产开发有限公司为该项目的投资建设主体。根据平昌县人民政府与四川瑜泰房地产开发有限公司签订《平昌县看守所建设项目投资合作协议》的约定，该项目采用“融资</w:t>
      </w:r>
      <w:r>
        <w:rPr>
          <w:rFonts w:hint="eastAsia" w:ascii="仿宋" w:hAnsi="仿宋" w:eastAsia="仿宋" w:cs="仿宋"/>
          <w:b w:val="0"/>
          <w:bCs/>
          <w:sz w:val="32"/>
          <w:szCs w:val="32"/>
          <w:lang w:val="en-US" w:eastAsia="zh-CN"/>
        </w:rPr>
        <w:t>-代建</w:t>
      </w:r>
      <w:r>
        <w:rPr>
          <w:rFonts w:hint="eastAsia" w:ascii="仿宋" w:hAnsi="仿宋" w:eastAsia="仿宋" w:cs="仿宋"/>
          <w:b w:val="0"/>
          <w:bCs/>
          <w:sz w:val="32"/>
          <w:szCs w:val="32"/>
          <w:lang w:val="zh-CN" w:eastAsia="zh-CN"/>
        </w:rPr>
        <w:t>”模式进行建设，并授权平昌县公安局作为项目的主体。</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1．项目主要内容。</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本项目为看守所建设项目。建二类看守所16000平方米。主要建设内容：一是看守所功能用房、监舍拘留所、警官培训中心基地、武警中队营房、接待大厅、犬舍、绿化工程。二是数字化安防监管指挥系统。</w:t>
      </w:r>
    </w:p>
    <w:p>
      <w:pPr>
        <w:keepNext w:val="0"/>
        <w:keepLines w:val="0"/>
        <w:pageBreakBefore w:val="0"/>
        <w:widowControl w:val="0"/>
        <w:numPr>
          <w:ilvl w:val="0"/>
          <w:numId w:val="8"/>
        </w:numPr>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项目应实现的具体绩效目标</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b w:val="0"/>
          <w:bCs/>
          <w:sz w:val="32"/>
          <w:szCs w:val="32"/>
          <w:lang w:val="zh-CN" w:eastAsia="zh-CN"/>
        </w:rPr>
      </w:pPr>
      <w:r>
        <w:rPr>
          <w:rFonts w:hint="eastAsia" w:ascii="仿宋" w:hAnsi="仿宋" w:eastAsia="仿宋" w:cs="仿宋"/>
          <w:b w:val="0"/>
          <w:bCs/>
          <w:sz w:val="32"/>
          <w:szCs w:val="32"/>
          <w:lang w:val="en-US" w:eastAsia="zh-CN"/>
        </w:rPr>
        <w:t>项目的建设、更新和维护，有效的提升平昌县看守所的工作效率和安全防范，使看守所的管理更加规范，保障更加有力，确保了监所的安全。</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sz w:val="32"/>
          <w:szCs w:val="32"/>
        </w:rPr>
      </w:pPr>
      <w:r>
        <w:rPr>
          <w:rFonts w:hint="eastAsia" w:ascii="黑体" w:hAnsi="宋体" w:eastAsia="黑体"/>
          <w:sz w:val="32"/>
          <w:szCs w:val="32"/>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（一）项目资金申报及批复情况</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_GB2312" w:hAnsi="宋体"/>
          <w:lang w:val="zh-CN"/>
        </w:rPr>
      </w:pPr>
      <w:r>
        <w:rPr>
          <w:rFonts w:hint="eastAsia" w:ascii="仿宋" w:hAnsi="仿宋" w:eastAsia="仿宋" w:cs="仿宋"/>
          <w:b w:val="0"/>
          <w:bCs/>
          <w:sz w:val="32"/>
          <w:szCs w:val="32"/>
          <w:lang w:val="en-US" w:eastAsia="zh-CN"/>
        </w:rPr>
        <w:t>平昌县财政局预算追加（减）通知单（平财预【2021】1340号），下达“解决看守所建设项目资金”600万元。</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（二）资金计划、到位及使用情况</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eastAsia" w:ascii="仿宋" w:hAnsi="仿宋" w:eastAsia="仿宋" w:cs="仿宋"/>
          <w:lang w:val="en-US" w:eastAsia="zh-CN"/>
        </w:rPr>
      </w:pPr>
      <w:r>
        <w:rPr>
          <w:rFonts w:hint="eastAsia" w:ascii="仿宋" w:hAnsi="仿宋" w:eastAsia="仿宋" w:cs="仿宋"/>
          <w:b w:val="0"/>
          <w:bCs/>
          <w:sz w:val="32"/>
          <w:szCs w:val="32"/>
          <w:lang w:val="zh-CN" w:eastAsia="zh-CN"/>
        </w:rPr>
        <w:t>我局内部控制比较健全，资金使用严格依据财政、公安部门制定的相关规章制及公安机关财务管理制度进行，各项资金使用审批规范、手续完善。看守所建设项目资金计划</w:t>
      </w:r>
      <w:r>
        <w:rPr>
          <w:rFonts w:hint="eastAsia" w:ascii="仿宋" w:hAnsi="仿宋" w:eastAsia="仿宋" w:cs="仿宋"/>
          <w:b w:val="0"/>
          <w:bCs/>
          <w:sz w:val="32"/>
          <w:szCs w:val="32"/>
          <w:lang w:val="en-US" w:eastAsia="zh-CN"/>
        </w:rPr>
        <w:t>600万元，到位600万元，实际支出600万元，支出率100%。</w:t>
      </w:r>
    </w:p>
    <w:p>
      <w:pPr>
        <w:keepNext w:val="0"/>
        <w:keepLines w:val="0"/>
        <w:pageBreakBefore w:val="0"/>
        <w:widowControl w:val="0"/>
        <w:numPr>
          <w:ilvl w:val="0"/>
          <w:numId w:val="0"/>
        </w:numPr>
        <w:kinsoku/>
        <w:wordWrap/>
        <w:overflowPunct/>
        <w:topLinePunct w:val="0"/>
        <w:autoSpaceDE/>
        <w:autoSpaceDN/>
        <w:bidi w:val="0"/>
        <w:spacing w:line="560" w:lineRule="atLeast"/>
        <w:ind w:right="16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资金使用情况表展示如下：</w:t>
      </w:r>
    </w:p>
    <w:tbl>
      <w:tblPr>
        <w:tblStyle w:val="16"/>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843"/>
        <w:gridCol w:w="1727"/>
        <w:gridCol w:w="691"/>
        <w:gridCol w:w="790"/>
        <w:gridCol w:w="863"/>
        <w:gridCol w:w="9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1509"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预算安排</w:t>
            </w:r>
          </w:p>
        </w:tc>
        <w:tc>
          <w:tcPr>
            <w:tcW w:w="870"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实际到位</w:t>
            </w:r>
          </w:p>
        </w:tc>
        <w:tc>
          <w:tcPr>
            <w:tcW w:w="1040"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实际支出</w:t>
            </w:r>
          </w:p>
        </w:tc>
        <w:tc>
          <w:tcPr>
            <w:tcW w:w="609" w:type="pct"/>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本年度结余金额（万元）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合计</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金额（万元）</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预算批复下达文号</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金额（万元）</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到位率</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金额（万元）</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1"/>
                <w:szCs w:val="21"/>
                <w:vertAlign w:val="baseline"/>
                <w:lang w:val="en-US" w:eastAsia="zh-CN"/>
              </w:rPr>
            </w:pPr>
            <w:r>
              <w:rPr>
                <w:rFonts w:hint="eastAsia" w:ascii="仿宋_GB2312" w:hAnsi="宋体"/>
                <w:sz w:val="21"/>
                <w:szCs w:val="21"/>
                <w:vertAlign w:val="baseline"/>
                <w:lang w:val="zh-CN"/>
              </w:rPr>
              <w:t>支出实现率（</w:t>
            </w:r>
            <w:r>
              <w:rPr>
                <w:rFonts w:hint="eastAsia" w:ascii="仿宋_GB2312" w:hAnsi="宋体"/>
                <w:sz w:val="21"/>
                <w:szCs w:val="21"/>
                <w:vertAlign w:val="baseline"/>
                <w:lang w:val="en-US" w:eastAsia="zh-CN"/>
              </w:rPr>
              <w:t>%）</w:t>
            </w:r>
          </w:p>
        </w:tc>
        <w:tc>
          <w:tcPr>
            <w:tcW w:w="609"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en-US" w:eastAsia="zh-CN"/>
              </w:rPr>
            </w:pPr>
            <w:r>
              <w:rPr>
                <w:rFonts w:hint="eastAsia" w:ascii="仿宋_GB2312" w:hAnsi="宋体"/>
                <w:sz w:val="21"/>
                <w:szCs w:val="21"/>
                <w:vertAlign w:val="baseline"/>
                <w:lang w:val="en-US" w:eastAsia="zh-CN"/>
              </w:rPr>
              <w:t>县级财政资金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600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zh-CN"/>
              </w:rPr>
              <w:t>平财（预）</w:t>
            </w:r>
            <w:r>
              <w:rPr>
                <w:rFonts w:hint="eastAsia" w:ascii="仿宋_GB2312" w:hAnsi="宋体"/>
                <w:sz w:val="21"/>
                <w:szCs w:val="21"/>
                <w:vertAlign w:val="baseline"/>
                <w:lang w:val="zh-CN"/>
              </w:rPr>
              <w:t>【</w:t>
            </w:r>
            <w:r>
              <w:rPr>
                <w:rFonts w:hint="eastAsia" w:ascii="仿宋_GB2312" w:hAnsi="宋体"/>
                <w:sz w:val="21"/>
                <w:szCs w:val="21"/>
                <w:vertAlign w:val="baseline"/>
                <w:lang w:val="en-US" w:eastAsia="zh-CN"/>
              </w:rPr>
              <w:t>2021】1340号</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600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100%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600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100%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中央财政资金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省级财政资金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市级财政资金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1"/>
                <w:szCs w:val="21"/>
                <w:vertAlign w:val="baseline"/>
                <w:lang w:val="zh-CN"/>
              </w:rPr>
            </w:pPr>
            <w:r>
              <w:rPr>
                <w:rFonts w:hint="eastAsia" w:ascii="仿宋_GB2312" w:hAnsi="宋体"/>
                <w:sz w:val="21"/>
                <w:szCs w:val="21"/>
                <w:vertAlign w:val="baseline"/>
                <w:lang w:val="zh-CN"/>
              </w:rPr>
              <w:t>其他渠道资金</w:t>
            </w:r>
          </w:p>
        </w:tc>
        <w:tc>
          <w:tcPr>
            <w:tcW w:w="495"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0</w:t>
            </w:r>
          </w:p>
        </w:tc>
        <w:tc>
          <w:tcPr>
            <w:tcW w:w="101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46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06"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534"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c>
          <w:tcPr>
            <w:tcW w:w="609" w:type="pc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eastAsia="仿宋_GB2312"/>
                <w:kern w:val="2"/>
                <w:sz w:val="24"/>
                <w:szCs w:val="24"/>
                <w:vertAlign w:val="baseline"/>
                <w:lang w:val="zh-CN" w:eastAsia="zh-CN" w:bidi="ar-SA"/>
              </w:rPr>
            </w:pPr>
            <w:r>
              <w:rPr>
                <w:rFonts w:hint="eastAsia" w:ascii="仿宋_GB2312" w:hAnsi="宋体"/>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restart"/>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县级财政资金实际支出情况</w:t>
            </w: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支出内容</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r>
              <w:rPr>
                <w:rFonts w:hint="eastAsia" w:ascii="仿宋_GB2312" w:hAnsi="宋体"/>
                <w:sz w:val="24"/>
                <w:szCs w:val="24"/>
                <w:vertAlign w:val="baseline"/>
                <w:lang w:val="zh-CN"/>
              </w:rPr>
              <w:t>看守所建设资金</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eastAsia="仿宋_GB2312"/>
                <w:sz w:val="24"/>
                <w:szCs w:val="24"/>
                <w:vertAlign w:val="baseline"/>
                <w:lang w:val="en-US" w:eastAsia="zh-CN"/>
              </w:rPr>
            </w:pPr>
            <w:r>
              <w:rPr>
                <w:rFonts w:hint="eastAsia" w:ascii="仿宋_GB2312" w:hAnsi="宋体"/>
                <w:sz w:val="24"/>
                <w:szCs w:val="24"/>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pct"/>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sz w:val="24"/>
                <w:szCs w:val="24"/>
                <w:vertAlign w:val="baseline"/>
                <w:lang w:val="zh-CN"/>
              </w:rPr>
            </w:pPr>
          </w:p>
        </w:tc>
        <w:tc>
          <w:tcPr>
            <w:tcW w:w="2886" w:type="pct"/>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eastAsia" w:ascii="仿宋_GB2312" w:hAnsi="宋体"/>
                <w:b/>
                <w:bCs/>
                <w:sz w:val="24"/>
                <w:szCs w:val="24"/>
                <w:vertAlign w:val="baseline"/>
                <w:lang w:val="zh-CN"/>
              </w:rPr>
            </w:pPr>
            <w:r>
              <w:rPr>
                <w:rFonts w:hint="eastAsia" w:ascii="仿宋_GB2312" w:hAnsi="宋体"/>
                <w:b/>
                <w:bCs/>
                <w:sz w:val="24"/>
                <w:szCs w:val="24"/>
                <w:vertAlign w:val="baseline"/>
                <w:lang w:val="zh-CN"/>
              </w:rPr>
              <w:t>合</w:t>
            </w:r>
            <w:r>
              <w:rPr>
                <w:rFonts w:hint="eastAsia" w:ascii="仿宋_GB2312" w:hAnsi="宋体"/>
                <w:b/>
                <w:bCs/>
                <w:sz w:val="24"/>
                <w:szCs w:val="24"/>
                <w:vertAlign w:val="baseline"/>
                <w:lang w:val="en-US" w:eastAsia="zh-CN"/>
              </w:rPr>
              <w:t xml:space="preserve">      </w:t>
            </w:r>
            <w:r>
              <w:rPr>
                <w:rFonts w:hint="eastAsia" w:ascii="仿宋_GB2312" w:hAnsi="宋体"/>
                <w:b/>
                <w:bCs/>
                <w:sz w:val="24"/>
                <w:szCs w:val="24"/>
                <w:vertAlign w:val="baseline"/>
                <w:lang w:val="zh-CN"/>
              </w:rPr>
              <w:t>计</w:t>
            </w:r>
          </w:p>
        </w:tc>
        <w:tc>
          <w:tcPr>
            <w:tcW w:w="1143" w:type="pct"/>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auto"/>
              <w:rPr>
                <w:rFonts w:hint="default" w:ascii="仿宋_GB2312" w:hAnsi="宋体"/>
                <w:b/>
                <w:bCs/>
                <w:sz w:val="24"/>
                <w:szCs w:val="24"/>
                <w:vertAlign w:val="baseline"/>
                <w:lang w:val="en-US" w:eastAsia="zh-CN"/>
              </w:rPr>
            </w:pPr>
            <w:r>
              <w:rPr>
                <w:rFonts w:hint="eastAsia" w:ascii="仿宋_GB2312" w:hAnsi="宋体"/>
                <w:b/>
                <w:bCs/>
                <w:sz w:val="24"/>
                <w:szCs w:val="24"/>
                <w:vertAlign w:val="baseline"/>
                <w:lang w:val="en-US" w:eastAsia="zh-CN"/>
              </w:rPr>
              <w:t>600</w:t>
            </w:r>
          </w:p>
        </w:tc>
      </w:tr>
    </w:tbl>
    <w:p>
      <w:pPr>
        <w:keepNext w:val="0"/>
        <w:keepLines w:val="0"/>
        <w:pageBreakBefore w:val="0"/>
        <w:widowControl w:val="0"/>
        <w:kinsoku/>
        <w:wordWrap/>
        <w:overflowPunct/>
        <w:topLinePunct w:val="0"/>
        <w:autoSpaceDE/>
        <w:autoSpaceDN/>
        <w:bidi w:val="0"/>
        <w:adjustRightInd w:val="0"/>
        <w:snapToGrid w:val="0"/>
        <w:spacing w:line="560" w:lineRule="atLeast"/>
        <w:textAlignment w:val="auto"/>
        <w:rPr>
          <w:rFonts w:hint="eastAsia" w:ascii="仿宋_GB2312" w:hAnsi="宋体"/>
          <w:lang w:val="zh-CN"/>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（三）项目财务管理情况</w:t>
      </w:r>
    </w:p>
    <w:p>
      <w:pPr>
        <w:keepNext w:val="0"/>
        <w:keepLines w:val="0"/>
        <w:pageBreakBefore w:val="0"/>
        <w:widowControl w:val="0"/>
        <w:kinsoku/>
        <w:wordWrap/>
        <w:overflowPunct/>
        <w:topLinePunct w:val="0"/>
        <w:autoSpaceDE/>
        <w:autoSpaceDN/>
        <w:bidi w:val="0"/>
        <w:adjustRightInd/>
        <w:snapToGrid/>
        <w:spacing w:line="560" w:lineRule="atLeast"/>
        <w:ind w:right="159" w:firstLine="640" w:firstLineChars="200"/>
        <w:textAlignment w:val="auto"/>
        <w:rPr>
          <w:rFonts w:ascii="仿宋_GB2312" w:hAnsi="宋体"/>
          <w:b/>
          <w:sz w:val="24"/>
          <w:lang w:val="zh-CN"/>
        </w:rPr>
      </w:pPr>
      <w:r>
        <w:rPr>
          <w:rFonts w:hint="eastAsia" w:ascii="仿宋" w:hAnsi="仿宋" w:eastAsia="仿宋" w:cs="仿宋"/>
          <w:b w:val="0"/>
          <w:bCs/>
          <w:sz w:val="32"/>
          <w:szCs w:val="32"/>
          <w:lang w:val="en-US" w:eastAsia="zh-CN"/>
        </w:rPr>
        <w:t>平昌县公安局项目会计核算规范、及时，未发现账务处理不正确、错账、漏账等不符合会计核算的情况，会计信息真实、完整。制定的财务管理规范，符合国家法律、法规和财务规章制度规定，但项目资金未分项目单独核算并建立收支台账。</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仿宋" w:hAnsi="仿宋" w:eastAsia="仿宋" w:cs="仿宋"/>
          <w:kern w:val="1"/>
          <w:sz w:val="32"/>
          <w:szCs w:val="32"/>
          <w:lang w:val="zh-CN"/>
        </w:rPr>
      </w:pPr>
      <w:r>
        <w:rPr>
          <w:rFonts w:hint="eastAsia" w:ascii="仿宋" w:hAnsi="仿宋" w:eastAsia="仿宋" w:cs="仿宋"/>
          <w:kern w:val="1"/>
          <w:sz w:val="32"/>
          <w:szCs w:val="32"/>
        </w:rPr>
        <w:t>为加强和</w:t>
      </w:r>
      <w:r>
        <w:rPr>
          <w:rFonts w:hint="eastAsia" w:ascii="仿宋" w:hAnsi="仿宋" w:eastAsia="仿宋" w:cs="仿宋"/>
          <w:kern w:val="2"/>
          <w:sz w:val="32"/>
          <w:szCs w:val="32"/>
          <w:lang w:val="zh-CN" w:eastAsia="zh-CN"/>
        </w:rPr>
        <w:t>规范</w:t>
      </w:r>
      <w:r>
        <w:rPr>
          <w:rFonts w:hint="eastAsia" w:ascii="仿宋" w:hAnsi="仿宋" w:eastAsia="仿宋" w:cs="仿宋"/>
          <w:kern w:val="1"/>
          <w:sz w:val="32"/>
          <w:szCs w:val="32"/>
        </w:rPr>
        <w:t>预算项目的建设管理，明确职责和落实任务，提高项目建设的工作效率和进度，我</w:t>
      </w:r>
      <w:r>
        <w:rPr>
          <w:rFonts w:hint="eastAsia" w:ascii="仿宋" w:hAnsi="仿宋" w:eastAsia="仿宋" w:cs="仿宋"/>
          <w:kern w:val="1"/>
          <w:sz w:val="32"/>
          <w:szCs w:val="32"/>
          <w:lang w:eastAsia="zh-CN"/>
        </w:rPr>
        <w:t>局</w:t>
      </w:r>
      <w:r>
        <w:rPr>
          <w:rFonts w:hint="eastAsia" w:ascii="仿宋" w:hAnsi="仿宋" w:eastAsia="仿宋" w:cs="仿宋"/>
          <w:kern w:val="1"/>
          <w:sz w:val="32"/>
          <w:szCs w:val="32"/>
        </w:rPr>
        <w:t>成立</w:t>
      </w:r>
      <w:r>
        <w:rPr>
          <w:rFonts w:hint="eastAsia" w:ascii="仿宋" w:hAnsi="仿宋" w:eastAsia="仿宋" w:cs="仿宋"/>
          <w:kern w:val="1"/>
          <w:sz w:val="32"/>
          <w:szCs w:val="32"/>
          <w:lang w:eastAsia="zh-CN"/>
        </w:rPr>
        <w:t>看守所</w:t>
      </w:r>
      <w:r>
        <w:rPr>
          <w:rFonts w:hint="eastAsia" w:ascii="仿宋" w:hAnsi="仿宋" w:eastAsia="仿宋" w:cs="仿宋"/>
          <w:kern w:val="1"/>
          <w:sz w:val="32"/>
          <w:szCs w:val="32"/>
        </w:rPr>
        <w:t>项目建设推进工作领导小组，进一步加强预算项目建设的领导工作，项目建设工作领导小组实行工作责任制，组织项目的报批、实施及验收等工作，组织协调相关部门及相关人员解决项目建设中产生的问题。</w:t>
      </w:r>
    </w:p>
    <w:p>
      <w:pPr>
        <w:keepNext w:val="0"/>
        <w:keepLines w:val="0"/>
        <w:pageBreakBefore w:val="0"/>
        <w:widowControl w:val="0"/>
        <w:numPr>
          <w:ilvl w:val="0"/>
          <w:numId w:val="9"/>
        </w:numPr>
        <w:kinsoku/>
        <w:wordWrap/>
        <w:overflowPunct/>
        <w:topLinePunct w:val="0"/>
        <w:autoSpaceDE/>
        <w:autoSpaceDN/>
        <w:bidi w:val="0"/>
        <w:adjustRightInd w:val="0"/>
        <w:snapToGrid w:val="0"/>
        <w:spacing w:line="560" w:lineRule="atLeast"/>
        <w:ind w:left="0" w:leftChars="0" w:firstLine="720" w:firstLineChars="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项目管理情况</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方正楷体简体" w:hAnsi="楷体" w:eastAsia="方正楷体简体"/>
          <w:sz w:val="32"/>
          <w:szCs w:val="32"/>
          <w:lang w:val="zh-CN"/>
        </w:rPr>
      </w:pPr>
      <w:r>
        <w:rPr>
          <w:rFonts w:hint="eastAsia" w:ascii="仿宋" w:hAnsi="仿宋" w:eastAsia="仿宋" w:cs="仿宋"/>
          <w:kern w:val="1"/>
          <w:sz w:val="32"/>
          <w:szCs w:val="32"/>
          <w:lang w:val="zh-CN"/>
        </w:rPr>
        <w:t>平昌县看守所建设项目所有资金实行专款专用。项目资金拨付严格审批程序，使用规范，会计核算结果真实、准确。项目单位建立健全项目实施预算方案、财务管理制度和会计核算制度，此次绩效评价过程中未发现有截留、挤占或挪用项目资金的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sz w:val="32"/>
          <w:szCs w:val="32"/>
          <w:lang w:val="zh-CN"/>
        </w:rPr>
      </w:pPr>
      <w:r>
        <w:rPr>
          <w:rFonts w:hint="eastAsia" w:ascii="黑体" w:hAnsi="宋体" w:eastAsia="黑体"/>
          <w:sz w:val="32"/>
          <w:szCs w:val="32"/>
        </w:rPr>
        <w:t>四、目标及绩效完成情况</w:t>
      </w:r>
      <w:r>
        <w:rPr>
          <w:rFonts w:hint="eastAsia" w:ascii="黑体" w:hAnsi="宋体" w:eastAsia="黑体"/>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方正楷体简体" w:hAnsi="楷体" w:eastAsia="方正楷体简体"/>
          <w:sz w:val="32"/>
          <w:szCs w:val="32"/>
          <w:lang w:val="zh-CN"/>
        </w:rPr>
      </w:pPr>
      <w:r>
        <w:rPr>
          <w:rFonts w:hint="eastAsia" w:ascii="方正楷体简体" w:hAnsi="楷体" w:eastAsia="方正楷体简体"/>
          <w:sz w:val="32"/>
          <w:szCs w:val="32"/>
          <w:lang w:val="zh-CN"/>
        </w:rPr>
        <w:t>（一）目标任务完成情况</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1、项目的经济性分析</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 w:hAnsi="仿宋" w:eastAsia="仿宋" w:cs="仿宋"/>
          <w:kern w:val="1"/>
          <w:sz w:val="32"/>
          <w:szCs w:val="32"/>
          <w:lang w:val="zh-CN"/>
        </w:rPr>
      </w:pPr>
      <w:r>
        <w:rPr>
          <w:rFonts w:hint="eastAsia" w:ascii="仿宋" w:hAnsi="仿宋" w:eastAsia="仿宋" w:cs="仿宋"/>
          <w:kern w:val="1"/>
          <w:sz w:val="32"/>
          <w:szCs w:val="32"/>
          <w:lang w:val="zh-CN"/>
        </w:rPr>
        <w:t>项目建设成本控制在预算范围内，截止20</w:t>
      </w:r>
      <w:r>
        <w:rPr>
          <w:rFonts w:hint="eastAsia" w:ascii="仿宋" w:hAnsi="仿宋" w:eastAsia="仿宋" w:cs="仿宋"/>
          <w:kern w:val="1"/>
          <w:sz w:val="32"/>
          <w:szCs w:val="32"/>
          <w:lang w:val="en-US" w:eastAsia="zh-CN"/>
        </w:rPr>
        <w:t>21</w:t>
      </w:r>
      <w:r>
        <w:rPr>
          <w:rFonts w:hint="eastAsia" w:ascii="仿宋" w:hAnsi="仿宋" w:eastAsia="仿宋" w:cs="仿宋"/>
          <w:kern w:val="1"/>
          <w:sz w:val="32"/>
          <w:szCs w:val="32"/>
          <w:lang w:val="zh-CN"/>
        </w:rPr>
        <w:t>年12月31日，</w:t>
      </w:r>
      <w:r>
        <w:rPr>
          <w:rFonts w:hint="eastAsia" w:ascii="仿宋" w:hAnsi="仿宋" w:eastAsia="仿宋" w:cs="仿宋"/>
          <w:kern w:val="1"/>
          <w:sz w:val="32"/>
          <w:szCs w:val="32"/>
          <w:lang w:val="zh-CN" w:eastAsia="zh-CN"/>
        </w:rPr>
        <w:t>该项目已拨付资金</w:t>
      </w:r>
      <w:r>
        <w:rPr>
          <w:rFonts w:hint="eastAsia" w:ascii="仿宋" w:hAnsi="仿宋" w:eastAsia="仿宋" w:cs="仿宋"/>
          <w:kern w:val="1"/>
          <w:sz w:val="32"/>
          <w:szCs w:val="32"/>
          <w:lang w:val="en-US" w:eastAsia="zh-CN"/>
        </w:rPr>
        <w:t>8050万元，</w:t>
      </w:r>
      <w:r>
        <w:rPr>
          <w:rFonts w:hint="eastAsia" w:ascii="仿宋" w:hAnsi="仿宋" w:eastAsia="仿宋" w:cs="仿宋"/>
          <w:kern w:val="1"/>
          <w:sz w:val="32"/>
          <w:szCs w:val="32"/>
          <w:lang w:val="zh-CN"/>
        </w:rPr>
        <w:t>支出项目资金共</w:t>
      </w:r>
      <w:r>
        <w:rPr>
          <w:rFonts w:hint="eastAsia" w:ascii="仿宋" w:hAnsi="仿宋" w:eastAsia="仿宋" w:cs="仿宋"/>
          <w:kern w:val="1"/>
          <w:sz w:val="32"/>
          <w:szCs w:val="32"/>
          <w:lang w:val="en-US" w:eastAsia="zh-CN"/>
        </w:rPr>
        <w:t>8050</w:t>
      </w:r>
      <w:r>
        <w:rPr>
          <w:rFonts w:hint="eastAsia" w:ascii="仿宋" w:hAnsi="仿宋" w:eastAsia="仿宋" w:cs="仿宋"/>
          <w:kern w:val="1"/>
          <w:sz w:val="32"/>
          <w:szCs w:val="32"/>
          <w:lang w:val="zh-CN"/>
        </w:rPr>
        <w:t>万元</w:t>
      </w:r>
      <w:r>
        <w:rPr>
          <w:rFonts w:hint="eastAsia" w:ascii="仿宋" w:hAnsi="仿宋" w:eastAsia="仿宋" w:cs="仿宋"/>
          <w:kern w:val="1"/>
          <w:sz w:val="32"/>
          <w:szCs w:val="32"/>
          <w:lang w:val="zh-CN" w:eastAsia="zh-CN"/>
        </w:rPr>
        <w:t>，支付率达</w:t>
      </w:r>
      <w:r>
        <w:rPr>
          <w:rFonts w:hint="eastAsia" w:ascii="仿宋" w:hAnsi="仿宋" w:eastAsia="仿宋" w:cs="仿宋"/>
          <w:kern w:val="1"/>
          <w:sz w:val="32"/>
          <w:szCs w:val="32"/>
          <w:lang w:val="en-US" w:eastAsia="zh-CN"/>
        </w:rPr>
        <w:t>100%</w:t>
      </w:r>
      <w:r>
        <w:rPr>
          <w:rFonts w:hint="eastAsia" w:ascii="仿宋" w:hAnsi="仿宋" w:eastAsia="仿宋" w:cs="仿宋"/>
          <w:kern w:val="1"/>
          <w:sz w:val="32"/>
          <w:szCs w:val="32"/>
          <w:lang w:val="zh-CN"/>
        </w:rPr>
        <w:t>。</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2、项目的效率性分析</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 w:hAnsi="仿宋" w:eastAsia="仿宋" w:cs="仿宋"/>
          <w:kern w:val="1"/>
          <w:sz w:val="32"/>
          <w:szCs w:val="32"/>
          <w:lang w:val="zh-CN"/>
        </w:rPr>
      </w:pPr>
      <w:r>
        <w:rPr>
          <w:rFonts w:hint="eastAsia" w:ascii="仿宋" w:hAnsi="仿宋" w:eastAsia="仿宋" w:cs="仿宋"/>
          <w:kern w:val="1"/>
          <w:sz w:val="32"/>
          <w:szCs w:val="32"/>
          <w:lang w:val="zh-CN" w:eastAsia="zh-CN"/>
        </w:rPr>
        <w:t>该</w:t>
      </w:r>
      <w:r>
        <w:rPr>
          <w:rFonts w:hint="eastAsia" w:ascii="仿宋" w:hAnsi="仿宋" w:eastAsia="仿宋" w:cs="仿宋"/>
          <w:kern w:val="1"/>
          <w:sz w:val="32"/>
          <w:szCs w:val="32"/>
          <w:lang w:val="zh-CN"/>
        </w:rPr>
        <w:t>项目</w:t>
      </w:r>
      <w:r>
        <w:rPr>
          <w:rFonts w:hint="eastAsia" w:ascii="仿宋" w:hAnsi="仿宋" w:eastAsia="仿宋" w:cs="仿宋"/>
          <w:kern w:val="1"/>
          <w:sz w:val="32"/>
          <w:szCs w:val="32"/>
          <w:lang w:val="zh-CN" w:eastAsia="zh-CN"/>
        </w:rPr>
        <w:t>建设</w:t>
      </w:r>
      <w:r>
        <w:rPr>
          <w:rFonts w:hint="eastAsia" w:ascii="仿宋" w:hAnsi="仿宋" w:eastAsia="仿宋" w:cs="仿宋"/>
          <w:kern w:val="1"/>
          <w:sz w:val="32"/>
          <w:szCs w:val="32"/>
          <w:lang w:val="zh-CN"/>
        </w:rPr>
        <w:t>实施</w:t>
      </w:r>
      <w:r>
        <w:rPr>
          <w:rFonts w:hint="eastAsia" w:ascii="仿宋" w:hAnsi="仿宋" w:eastAsia="仿宋" w:cs="仿宋"/>
          <w:kern w:val="1"/>
          <w:sz w:val="32"/>
          <w:szCs w:val="32"/>
          <w:lang w:val="zh-CN" w:eastAsia="zh-CN"/>
        </w:rPr>
        <w:t>已</w:t>
      </w:r>
      <w:r>
        <w:rPr>
          <w:rFonts w:hint="eastAsia" w:ascii="仿宋" w:hAnsi="仿宋" w:eastAsia="仿宋" w:cs="仿宋"/>
          <w:kern w:val="1"/>
          <w:sz w:val="32"/>
          <w:szCs w:val="32"/>
          <w:lang w:val="zh-CN"/>
        </w:rPr>
        <w:t>全部完成，项目的建设有效的提升</w:t>
      </w:r>
      <w:r>
        <w:rPr>
          <w:rFonts w:hint="eastAsia" w:ascii="仿宋" w:hAnsi="仿宋" w:eastAsia="仿宋" w:cs="仿宋"/>
          <w:kern w:val="1"/>
          <w:sz w:val="32"/>
          <w:szCs w:val="32"/>
          <w:lang w:val="zh-CN" w:eastAsia="zh-CN"/>
        </w:rPr>
        <w:t>平昌县看守所</w:t>
      </w:r>
      <w:r>
        <w:rPr>
          <w:rFonts w:hint="eastAsia" w:ascii="仿宋" w:hAnsi="仿宋" w:eastAsia="仿宋" w:cs="仿宋"/>
          <w:kern w:val="1"/>
          <w:sz w:val="32"/>
          <w:szCs w:val="32"/>
          <w:lang w:val="zh-CN"/>
        </w:rPr>
        <w:t>的工作效率和安全防范设施，各种设施正常进行，较好的达到建设的管理要求。</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zh-CN"/>
        </w:rPr>
        <w:t>、项目的可持续性分析</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 w:hAnsi="仿宋" w:eastAsia="仿宋" w:cs="仿宋"/>
          <w:kern w:val="1"/>
          <w:sz w:val="32"/>
          <w:szCs w:val="32"/>
          <w:lang w:val="zh-CN" w:eastAsia="zh-CN"/>
        </w:rPr>
      </w:pPr>
      <w:r>
        <w:rPr>
          <w:rFonts w:hint="eastAsia" w:ascii="仿宋" w:hAnsi="仿宋" w:eastAsia="仿宋" w:cs="仿宋"/>
          <w:kern w:val="1"/>
          <w:sz w:val="32"/>
          <w:szCs w:val="32"/>
          <w:lang w:val="zh-CN" w:eastAsia="zh-CN"/>
        </w:rPr>
        <w:t>平昌县看守所建设项目的实施，使看守所的教育管理更具体，更规范，保障工作更有力，安全工作更有效。实现了看守所安全无事故，保证了诉讼活动的顺利进行，有效发挥了项目的效益。</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sz w:val="32"/>
          <w:szCs w:val="32"/>
          <w:lang w:val="zh-CN"/>
        </w:rPr>
      </w:pPr>
      <w:r>
        <w:rPr>
          <w:rFonts w:hint="eastAsia" w:ascii="黑体" w:hAnsi="宋体" w:eastAsia="黑体"/>
          <w:sz w:val="32"/>
          <w:szCs w:val="32"/>
        </w:rPr>
        <w:t>五、评价结论</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 w:hAnsi="仿宋" w:eastAsia="仿宋" w:cs="仿宋"/>
          <w:kern w:val="1"/>
          <w:sz w:val="32"/>
          <w:szCs w:val="32"/>
          <w:lang w:val="zh-CN" w:eastAsia="zh-CN"/>
        </w:rPr>
      </w:pPr>
      <w:r>
        <w:rPr>
          <w:rFonts w:hint="eastAsia" w:ascii="仿宋" w:hAnsi="仿宋" w:eastAsia="仿宋" w:cs="仿宋"/>
          <w:kern w:val="1"/>
          <w:sz w:val="32"/>
          <w:szCs w:val="32"/>
          <w:lang w:val="zh-CN" w:eastAsia="zh-CN"/>
        </w:rPr>
        <w:t>平昌县看守所建设项目依照省、市、县的要求决策，依据充分、目标明确、程序合理，与政策要求高度相关；项目的管理制度健全，项目资金到位及时，使用按计划进行，项目的组织管理基本有效；项目的产出基本达到目标，项目效果良好，项目的绩效基本实现，经我局自评，</w:t>
      </w:r>
      <w:r>
        <w:rPr>
          <w:rFonts w:hint="eastAsia" w:ascii="仿宋" w:hAnsi="仿宋" w:eastAsia="仿宋" w:cs="仿宋"/>
          <w:kern w:val="1"/>
          <w:sz w:val="32"/>
          <w:szCs w:val="32"/>
          <w:lang w:val="en-US" w:eastAsia="zh-CN"/>
        </w:rPr>
        <w:t>2021年看守所建设项目绩效评价得分为93分，为优秀档次。</w:t>
      </w:r>
    </w:p>
    <w:p>
      <w:pPr>
        <w:keepNext w:val="0"/>
        <w:keepLines w:val="0"/>
        <w:pageBreakBefore w:val="0"/>
        <w:widowControl w:val="0"/>
        <w:kinsoku/>
        <w:wordWrap/>
        <w:overflowPunct/>
        <w:topLinePunct w:val="0"/>
        <w:autoSpaceDE/>
        <w:autoSpaceDN/>
        <w:bidi w:val="0"/>
        <w:adjustRightInd w:val="0"/>
        <w:snapToGrid w:val="0"/>
        <w:spacing w:line="560" w:lineRule="atLeast"/>
        <w:ind w:firstLine="720"/>
        <w:textAlignment w:val="auto"/>
        <w:rPr>
          <w:rFonts w:hint="eastAsia" w:ascii="黑体" w:hAnsi="宋体" w:eastAsia="黑体"/>
          <w:sz w:val="32"/>
          <w:szCs w:val="32"/>
        </w:rPr>
      </w:pPr>
      <w:r>
        <w:rPr>
          <w:rFonts w:hint="eastAsia" w:ascii="黑体" w:hAnsi="宋体" w:eastAsia="黑体"/>
          <w:sz w:val="32"/>
          <w:szCs w:val="32"/>
        </w:rPr>
        <w:t>六、存在的问题及建议</w:t>
      </w:r>
    </w:p>
    <w:p>
      <w:pPr>
        <w:keepNext w:val="0"/>
        <w:keepLines w:val="0"/>
        <w:pageBreakBefore w:val="0"/>
        <w:tabs>
          <w:tab w:val="left" w:pos="878"/>
        </w:tabs>
        <w:kinsoku/>
        <w:wordWrap/>
        <w:overflowPunct/>
        <w:topLinePunct w:val="0"/>
        <w:autoSpaceDE/>
        <w:autoSpaceDN/>
        <w:bidi w:val="0"/>
        <w:spacing w:line="560" w:lineRule="atLeast"/>
        <w:ind w:firstLine="640" w:firstLineChars="200"/>
        <w:textAlignment w:val="auto"/>
        <w:outlineLvl w:val="0"/>
        <w:rPr>
          <w:rFonts w:hint="eastAsia" w:ascii="宋体" w:hAnsi="宋体" w:eastAsia="仿宋_GB2312"/>
          <w:sz w:val="32"/>
          <w:szCs w:val="32"/>
          <w:lang w:eastAsia="zh-CN"/>
        </w:rPr>
      </w:pPr>
      <w:r>
        <w:rPr>
          <w:rFonts w:hint="eastAsia" w:ascii="仿宋" w:hAnsi="仿宋" w:eastAsia="仿宋" w:cs="仿宋"/>
          <w:kern w:val="1"/>
          <w:sz w:val="32"/>
          <w:szCs w:val="32"/>
          <w:lang w:val="zh-CN" w:eastAsia="zh-CN"/>
        </w:rPr>
        <w:t>由于该项目已完工投入使用，建议完善项目相关制度，为项目提供有效的保障。项目将会持续的更新和维护，有效的提升平昌县看守所的工作效率和安全防范设施，各种设施正常进行，较好的达到建设的管理要求。</w:t>
      </w:r>
    </w:p>
    <w:p>
      <w:pPr>
        <w:pStyle w:val="7"/>
        <w:rPr>
          <w:rFonts w:hint="eastAsia"/>
          <w:color w:val="auto"/>
          <w:highlight w:val="none"/>
          <w:lang w:val="zh-CN"/>
        </w:rPr>
      </w:pPr>
    </w:p>
    <w:p>
      <w:pPr>
        <w:pStyle w:val="2"/>
      </w:pPr>
    </w:p>
    <w:p>
      <w:pPr>
        <w:spacing w:line="600" w:lineRule="exact"/>
        <w:jc w:val="center"/>
        <w:outlineLvl w:val="0"/>
        <w:rPr>
          <w:rFonts w:hint="eastAsia" w:ascii="仿宋" w:hAnsi="仿宋" w:eastAsia="仿宋"/>
          <w:b w:val="0"/>
          <w:color w:val="auto"/>
          <w:highlight w:val="none"/>
        </w:rPr>
      </w:pPr>
      <w:bookmarkStart w:id="91" w:name="_Toc16994"/>
      <w:bookmarkStart w:id="92"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84"/>
      <w:bookmarkEnd w:id="91"/>
      <w:bookmarkEnd w:id="92"/>
      <w:bookmarkStart w:id="93" w:name="_Toc15396619"/>
    </w:p>
    <w:p>
      <w:pPr>
        <w:pStyle w:val="4"/>
        <w:rPr>
          <w:rFonts w:ascii="仿宋" w:hAnsi="仿宋" w:eastAsia="仿宋"/>
          <w:color w:val="auto"/>
          <w:highlight w:val="none"/>
        </w:rPr>
      </w:pPr>
      <w:bookmarkStart w:id="94" w:name="_Toc2893"/>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93"/>
      <w:bookmarkEnd w:id="94"/>
    </w:p>
    <w:p>
      <w:pPr>
        <w:pStyle w:val="4"/>
        <w:rPr>
          <w:rFonts w:ascii="仿宋" w:hAnsi="仿宋" w:eastAsia="仿宋"/>
          <w:color w:val="auto"/>
          <w:highlight w:val="none"/>
        </w:rPr>
      </w:pPr>
      <w:bookmarkStart w:id="95" w:name="_Toc15396620"/>
      <w:bookmarkStart w:id="96" w:name="_Toc17146"/>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95"/>
      <w:bookmarkEnd w:id="96"/>
    </w:p>
    <w:p>
      <w:pPr>
        <w:pStyle w:val="4"/>
        <w:rPr>
          <w:rFonts w:ascii="仿宋" w:hAnsi="仿宋" w:eastAsia="仿宋"/>
          <w:color w:val="auto"/>
          <w:highlight w:val="none"/>
        </w:rPr>
      </w:pPr>
      <w:bookmarkStart w:id="97" w:name="_Toc6679"/>
      <w:bookmarkStart w:id="98"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97"/>
      <w:bookmarkEnd w:id="98"/>
    </w:p>
    <w:p>
      <w:pPr>
        <w:pStyle w:val="4"/>
        <w:rPr>
          <w:rFonts w:ascii="仿宋" w:hAnsi="仿宋" w:eastAsia="仿宋"/>
          <w:b w:val="0"/>
          <w:color w:val="auto"/>
          <w:highlight w:val="none"/>
        </w:rPr>
      </w:pPr>
      <w:bookmarkStart w:id="99" w:name="_Toc14851"/>
      <w:bookmarkStart w:id="100"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99"/>
      <w:bookmarkEnd w:id="100"/>
    </w:p>
    <w:p>
      <w:pPr>
        <w:pStyle w:val="4"/>
        <w:rPr>
          <w:rStyle w:val="29"/>
          <w:rFonts w:ascii="仿宋" w:hAnsi="仿宋" w:eastAsia="仿宋"/>
          <w:b w:val="0"/>
          <w:bCs w:val="0"/>
          <w:color w:val="auto"/>
          <w:highlight w:val="none"/>
        </w:rPr>
      </w:pPr>
      <w:bookmarkStart w:id="101" w:name="_Toc19300"/>
      <w:bookmarkStart w:id="102"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101"/>
      <w:bookmarkEnd w:id="102"/>
      <w:bookmarkStart w:id="103" w:name="_Toc15396624"/>
    </w:p>
    <w:p>
      <w:pPr>
        <w:pStyle w:val="4"/>
        <w:rPr>
          <w:rFonts w:ascii="仿宋" w:hAnsi="仿宋" w:eastAsia="仿宋"/>
          <w:color w:val="auto"/>
          <w:highlight w:val="none"/>
        </w:rPr>
      </w:pPr>
      <w:bookmarkStart w:id="104" w:name="_Toc24832"/>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103"/>
      <w:bookmarkEnd w:id="104"/>
    </w:p>
    <w:p>
      <w:pPr>
        <w:pStyle w:val="4"/>
        <w:rPr>
          <w:rFonts w:ascii="仿宋" w:hAnsi="仿宋" w:eastAsia="仿宋"/>
          <w:color w:val="auto"/>
          <w:highlight w:val="none"/>
        </w:rPr>
      </w:pPr>
      <w:bookmarkStart w:id="105" w:name="_Toc15396625"/>
      <w:bookmarkStart w:id="106" w:name="_Toc11104"/>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105"/>
      <w:bookmarkEnd w:id="106"/>
    </w:p>
    <w:p>
      <w:pPr>
        <w:pStyle w:val="4"/>
        <w:rPr>
          <w:rFonts w:ascii="仿宋" w:hAnsi="仿宋" w:eastAsia="仿宋"/>
          <w:color w:val="auto"/>
          <w:highlight w:val="none"/>
        </w:rPr>
      </w:pPr>
      <w:bookmarkStart w:id="107" w:name="_Toc15396626"/>
      <w:bookmarkStart w:id="108" w:name="_Toc12635"/>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107"/>
      <w:bookmarkEnd w:id="108"/>
    </w:p>
    <w:p>
      <w:pPr>
        <w:pStyle w:val="4"/>
        <w:rPr>
          <w:rFonts w:ascii="仿宋" w:hAnsi="仿宋" w:eastAsia="仿宋"/>
          <w:color w:val="auto"/>
          <w:highlight w:val="none"/>
        </w:rPr>
      </w:pPr>
      <w:bookmarkStart w:id="109" w:name="_Toc7178"/>
      <w:bookmarkStart w:id="110"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109"/>
      <w:bookmarkEnd w:id="110"/>
    </w:p>
    <w:p>
      <w:pPr>
        <w:pStyle w:val="4"/>
        <w:rPr>
          <w:rFonts w:ascii="仿宋" w:hAnsi="仿宋" w:eastAsia="仿宋"/>
          <w:color w:val="auto"/>
          <w:highlight w:val="none"/>
        </w:rPr>
      </w:pPr>
      <w:bookmarkStart w:id="111" w:name="_Toc15396628"/>
      <w:bookmarkStart w:id="112" w:name="_Toc8776"/>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111"/>
      <w:bookmarkEnd w:id="112"/>
    </w:p>
    <w:p>
      <w:pPr>
        <w:pStyle w:val="4"/>
        <w:rPr>
          <w:rFonts w:ascii="仿宋" w:hAnsi="仿宋" w:eastAsia="仿宋"/>
          <w:color w:val="auto"/>
          <w:highlight w:val="none"/>
        </w:rPr>
      </w:pPr>
      <w:bookmarkStart w:id="113" w:name="_Toc18459"/>
      <w:bookmarkStart w:id="114"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113"/>
      <w:bookmarkEnd w:id="114"/>
    </w:p>
    <w:p>
      <w:pPr>
        <w:pStyle w:val="4"/>
        <w:rPr>
          <w:rFonts w:ascii="仿宋" w:hAnsi="仿宋" w:eastAsia="仿宋"/>
          <w:color w:val="auto"/>
          <w:highlight w:val="none"/>
        </w:rPr>
      </w:pPr>
      <w:bookmarkStart w:id="115" w:name="_Toc19118"/>
      <w:bookmarkStart w:id="116"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115"/>
      <w:bookmarkEnd w:id="116"/>
    </w:p>
    <w:p>
      <w:pPr>
        <w:pStyle w:val="4"/>
        <w:rPr>
          <w:rStyle w:val="29"/>
          <w:rFonts w:hint="eastAsia" w:ascii="仿宋" w:hAnsi="仿宋" w:eastAsia="仿宋"/>
          <w:b w:val="0"/>
          <w:bCs w:val="0"/>
          <w:color w:val="auto"/>
          <w:highlight w:val="none"/>
        </w:rPr>
      </w:pPr>
      <w:bookmarkStart w:id="117" w:name="_Toc19902"/>
      <w:bookmarkStart w:id="118"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117"/>
      <w:bookmarkEnd w:id="118"/>
    </w:p>
    <w:p>
      <w:pPr>
        <w:rPr>
          <w:rFonts w:hint="eastAsia" w:eastAsia="仿宋"/>
          <w:color w:val="auto"/>
          <w:highlight w:val="none"/>
          <w:lang w:eastAsia="zh-CN"/>
        </w:rPr>
      </w:pPr>
      <w:bookmarkStart w:id="119" w:name="_Toc12132"/>
      <w:r>
        <w:rPr>
          <w:rStyle w:val="29"/>
          <w:rFonts w:hint="eastAsia" w:ascii="仿宋" w:hAnsi="仿宋" w:eastAsia="仿宋"/>
          <w:b w:val="0"/>
          <w:bCs w:val="0"/>
          <w:color w:val="auto"/>
          <w:highlight w:val="none"/>
          <w:lang w:eastAsia="zh-CN"/>
        </w:rPr>
        <w:t>十四、国有资本经营预算财政拨款支出决算表</w:t>
      </w:r>
      <w:bookmarkEnd w:id="119"/>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10-12T13:17:45Z" w:initials="A">
    <w:p w14:paraId="0F676EC2">
      <w:pPr>
        <w:pStyle w:val="6"/>
        <w:rPr>
          <w:rFonts w:hint="eastAsia" w:eastAsia="宋体"/>
          <w:lang w:eastAsia="zh-CN"/>
        </w:rPr>
      </w:pPr>
      <w:r>
        <w:rPr>
          <w:rFonts w:hint="eastAsia"/>
          <w:lang w:eastAsia="zh-CN"/>
        </w:rPr>
        <w:t>需画图</w:t>
      </w:r>
    </w:p>
  </w:comment>
  <w:comment w:id="1" w:author="Administrator" w:date="2022-10-12T13:18:18Z" w:initials="A">
    <w:p w14:paraId="60833F0E">
      <w:pPr>
        <w:pStyle w:val="6"/>
        <w:rPr>
          <w:rFonts w:hint="default" w:eastAsia="宋体"/>
          <w:lang w:val="en-US" w:eastAsia="zh-CN"/>
        </w:rPr>
      </w:pPr>
      <w:r>
        <w:rPr>
          <w:rFonts w:hint="eastAsia"/>
          <w:lang w:val="en-US" w:eastAsia="zh-CN"/>
        </w:rPr>
        <w:t>根据单位实际，罗列全部支出至</w:t>
      </w:r>
      <w:r>
        <w:rPr>
          <w:rFonts w:hint="eastAsia"/>
          <w:b/>
          <w:bCs/>
          <w:lang w:val="en-US" w:eastAsia="zh-CN"/>
        </w:rPr>
        <w:t>类级</w:t>
      </w:r>
      <w:r>
        <w:rPr>
          <w:rFonts w:hint="eastAsia"/>
          <w:lang w:val="en-US" w:eastAsia="zh-CN"/>
        </w:rPr>
        <w:t>科目。涉及的保留，不涉及的删除。</w:t>
      </w:r>
    </w:p>
    <w:p w14:paraId="3BEA7B59">
      <w:pPr>
        <w:pStyle w:val="6"/>
      </w:pPr>
    </w:p>
  </w:comment>
  <w:comment w:id="2" w:author="Administrator" w:date="2022-10-12T13:19:39Z" w:initials="A">
    <w:p w14:paraId="60005AEA">
      <w:pPr>
        <w:pStyle w:val="6"/>
        <w:rPr>
          <w:rFonts w:hint="eastAsia"/>
          <w:lang w:eastAsia="zh-CN"/>
        </w:rPr>
      </w:pPr>
      <w:r>
        <w:rPr>
          <w:rFonts w:hint="eastAsia"/>
          <w:lang w:eastAsia="zh-CN"/>
        </w:rPr>
        <w:t>所有支出必须列示到项级</w:t>
      </w:r>
    </w:p>
    <w:p w14:paraId="62515DEB">
      <w:pPr>
        <w:pStyle w:val="6"/>
      </w:pPr>
    </w:p>
  </w:comment>
  <w:comment w:id="3" w:author="Administrator" w:date="2022-10-12T13:22:05Z" w:initials="A">
    <w:p w14:paraId="297D299A">
      <w:pPr>
        <w:pStyle w:val="6"/>
        <w:rPr>
          <w:rFonts w:hint="eastAsia" w:eastAsia="宋体"/>
          <w:lang w:eastAsia="zh-CN"/>
        </w:rPr>
      </w:pPr>
      <w:r>
        <w:rPr>
          <w:rFonts w:hint="eastAsia"/>
          <w:lang w:eastAsia="zh-CN"/>
        </w:rPr>
        <w:t>需画图</w:t>
      </w:r>
    </w:p>
  </w:comment>
  <w:comment w:id="4" w:author="Administrator" w:date="2022-10-12T13:22:22Z" w:initials="A">
    <w:p w14:paraId="3B7E6F08">
      <w:pPr>
        <w:pStyle w:val="6"/>
        <w:rPr>
          <w:rFonts w:hint="default" w:eastAsia="宋体"/>
          <w:lang w:val="en-US" w:eastAsia="zh-CN"/>
        </w:rPr>
      </w:pPr>
      <w:r>
        <w:rPr>
          <w:rFonts w:hint="eastAsia"/>
          <w:lang w:val="en-US" w:eastAsia="zh-CN"/>
        </w:rPr>
        <w:t>支出0万元也需填列，不能删除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F676EC2" w15:done="0"/>
  <w15:commentEx w15:paraId="3BEA7B59" w15:done="0"/>
  <w15:commentEx w15:paraId="62515DEB" w15:done="0"/>
  <w15:commentEx w15:paraId="297D299A" w15:done="0"/>
  <w15:commentEx w15:paraId="3B7E6F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1"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A4BC0"/>
    <w:multiLevelType w:val="singleLevel"/>
    <w:tmpl w:val="834A4BC0"/>
    <w:lvl w:ilvl="0" w:tentative="0">
      <w:start w:val="2"/>
      <w:numFmt w:val="chineseCounting"/>
      <w:suff w:val="nothing"/>
      <w:lvlText w:val="（%1）"/>
      <w:lvlJc w:val="left"/>
      <w:rPr>
        <w:rFonts w:hint="eastAsia"/>
      </w:rPr>
    </w:lvl>
  </w:abstractNum>
  <w:abstractNum w:abstractNumId="1">
    <w:nsid w:val="A3EDCC96"/>
    <w:multiLevelType w:val="singleLevel"/>
    <w:tmpl w:val="A3EDCC96"/>
    <w:lvl w:ilvl="0" w:tentative="0">
      <w:start w:val="1"/>
      <w:numFmt w:val="chineseCounting"/>
      <w:suff w:val="nothing"/>
      <w:lvlText w:val="（%1）"/>
      <w:lvlJc w:val="left"/>
      <w:rPr>
        <w:rFonts w:hint="eastAsia"/>
      </w:rPr>
    </w:lvl>
  </w:abstractNum>
  <w:abstractNum w:abstractNumId="2">
    <w:nsid w:val="A7A501A9"/>
    <w:multiLevelType w:val="singleLevel"/>
    <w:tmpl w:val="A7A501A9"/>
    <w:lvl w:ilvl="0" w:tentative="0">
      <w:start w:val="2"/>
      <w:numFmt w:val="decimal"/>
      <w:suff w:val="nothing"/>
      <w:lvlText w:val="%1．"/>
      <w:lvlJc w:val="left"/>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b/>
        <w:bCs/>
      </w:rPr>
    </w:lvl>
  </w:abstractNum>
  <w:abstractNum w:abstractNumId="5">
    <w:nsid w:val="E953239A"/>
    <w:multiLevelType w:val="singleLevel"/>
    <w:tmpl w:val="E953239A"/>
    <w:lvl w:ilvl="0" w:tentative="0">
      <w:start w:val="2"/>
      <w:numFmt w:val="decimal"/>
      <w:suff w:val="nothing"/>
      <w:lvlText w:val="%1．"/>
      <w:lvlJc w:val="left"/>
    </w:lvl>
  </w:abstractNum>
  <w:abstractNum w:abstractNumId="6">
    <w:nsid w:val="03C4A107"/>
    <w:multiLevelType w:val="singleLevel"/>
    <w:tmpl w:val="03C4A107"/>
    <w:lvl w:ilvl="0" w:tentative="0">
      <w:start w:val="2"/>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8"/>
  </w:num>
  <w:num w:numId="2">
    <w:abstractNumId w:val="7"/>
  </w:num>
  <w:num w:numId="3">
    <w:abstractNumId w:val="3"/>
  </w:num>
  <w:num w:numId="4">
    <w:abstractNumId w:val="4"/>
  </w:num>
  <w:num w:numId="5">
    <w:abstractNumId w:val="0"/>
  </w:num>
  <w:num w:numId="6">
    <w:abstractNumId w:val="1"/>
  </w:num>
  <w:num w:numId="7">
    <w:abstractNumId w:val="2"/>
  </w:num>
  <w:num w:numId="8">
    <w:abstractNumId w:val="5"/>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lYjkyNjI0ZjExODk2MTY0YzExNzc5MGI2NDFkOT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0E2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B7F"/>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C5304"/>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6664C"/>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0390C"/>
    <w:rsid w:val="019B4C3F"/>
    <w:rsid w:val="01A16635"/>
    <w:rsid w:val="01C7267B"/>
    <w:rsid w:val="01EF501B"/>
    <w:rsid w:val="02206C79"/>
    <w:rsid w:val="02BF77F6"/>
    <w:rsid w:val="02D50DC8"/>
    <w:rsid w:val="03334B45"/>
    <w:rsid w:val="0338552D"/>
    <w:rsid w:val="049241B7"/>
    <w:rsid w:val="057B5C57"/>
    <w:rsid w:val="059C7D12"/>
    <w:rsid w:val="05CC5BE8"/>
    <w:rsid w:val="06337625"/>
    <w:rsid w:val="066E0107"/>
    <w:rsid w:val="0777244E"/>
    <w:rsid w:val="07996F6E"/>
    <w:rsid w:val="0850391A"/>
    <w:rsid w:val="08F02AF4"/>
    <w:rsid w:val="090A7EB2"/>
    <w:rsid w:val="09371163"/>
    <w:rsid w:val="093F51ED"/>
    <w:rsid w:val="09862E1C"/>
    <w:rsid w:val="09C917B0"/>
    <w:rsid w:val="0A2032A3"/>
    <w:rsid w:val="0A3426E9"/>
    <w:rsid w:val="0AE27547"/>
    <w:rsid w:val="0AEB3327"/>
    <w:rsid w:val="0B6B4077"/>
    <w:rsid w:val="0BC55E7E"/>
    <w:rsid w:val="0BD7795F"/>
    <w:rsid w:val="0C0D7AE6"/>
    <w:rsid w:val="0C2540E6"/>
    <w:rsid w:val="0C6521A6"/>
    <w:rsid w:val="0C9A0616"/>
    <w:rsid w:val="0CAF73A5"/>
    <w:rsid w:val="0CBE467B"/>
    <w:rsid w:val="0D3F7976"/>
    <w:rsid w:val="0D5375F4"/>
    <w:rsid w:val="0D643474"/>
    <w:rsid w:val="0E39045D"/>
    <w:rsid w:val="0E6F1A88"/>
    <w:rsid w:val="0E7523FC"/>
    <w:rsid w:val="0E8A2A67"/>
    <w:rsid w:val="0EEE3F77"/>
    <w:rsid w:val="0F164C6F"/>
    <w:rsid w:val="0F57626C"/>
    <w:rsid w:val="0F8E2A2A"/>
    <w:rsid w:val="0F98721E"/>
    <w:rsid w:val="0FAC4C5F"/>
    <w:rsid w:val="101860EC"/>
    <w:rsid w:val="103816C8"/>
    <w:rsid w:val="104B0D6B"/>
    <w:rsid w:val="1056229E"/>
    <w:rsid w:val="109D5909"/>
    <w:rsid w:val="10C055FF"/>
    <w:rsid w:val="118107EC"/>
    <w:rsid w:val="11C34937"/>
    <w:rsid w:val="127B48B6"/>
    <w:rsid w:val="12B00619"/>
    <w:rsid w:val="12E71550"/>
    <w:rsid w:val="12E84200"/>
    <w:rsid w:val="13094A05"/>
    <w:rsid w:val="13785B00"/>
    <w:rsid w:val="13C6526A"/>
    <w:rsid w:val="13D50BC4"/>
    <w:rsid w:val="13D937D3"/>
    <w:rsid w:val="13E83A2A"/>
    <w:rsid w:val="14717CCD"/>
    <w:rsid w:val="1494309C"/>
    <w:rsid w:val="14A910E0"/>
    <w:rsid w:val="14DD6852"/>
    <w:rsid w:val="14F670A8"/>
    <w:rsid w:val="14FB2F80"/>
    <w:rsid w:val="15AB60E4"/>
    <w:rsid w:val="15B3427D"/>
    <w:rsid w:val="16631BA1"/>
    <w:rsid w:val="166D2821"/>
    <w:rsid w:val="167D52E5"/>
    <w:rsid w:val="16917BB0"/>
    <w:rsid w:val="16BB0E05"/>
    <w:rsid w:val="16BB723D"/>
    <w:rsid w:val="16C31392"/>
    <w:rsid w:val="17607F1E"/>
    <w:rsid w:val="17C33BC1"/>
    <w:rsid w:val="18222D5D"/>
    <w:rsid w:val="184A43B1"/>
    <w:rsid w:val="188F61A3"/>
    <w:rsid w:val="190478B9"/>
    <w:rsid w:val="190856F0"/>
    <w:rsid w:val="19737DBE"/>
    <w:rsid w:val="19B13200"/>
    <w:rsid w:val="19BF6247"/>
    <w:rsid w:val="19C2408D"/>
    <w:rsid w:val="1A704DC9"/>
    <w:rsid w:val="1A7E43BC"/>
    <w:rsid w:val="1AF10A77"/>
    <w:rsid w:val="1B19067C"/>
    <w:rsid w:val="1B50328A"/>
    <w:rsid w:val="1B8E0065"/>
    <w:rsid w:val="1B9C72D1"/>
    <w:rsid w:val="1BAC4CA0"/>
    <w:rsid w:val="1BC53330"/>
    <w:rsid w:val="1BD45C69"/>
    <w:rsid w:val="1BE8440E"/>
    <w:rsid w:val="1C59717B"/>
    <w:rsid w:val="1D155CEE"/>
    <w:rsid w:val="1D764EFD"/>
    <w:rsid w:val="1D772D50"/>
    <w:rsid w:val="1E0345E3"/>
    <w:rsid w:val="1E3D0B37"/>
    <w:rsid w:val="1EFA66BF"/>
    <w:rsid w:val="1F151809"/>
    <w:rsid w:val="1F59095F"/>
    <w:rsid w:val="208A0FEC"/>
    <w:rsid w:val="20977708"/>
    <w:rsid w:val="20B35E4D"/>
    <w:rsid w:val="20BB3CC8"/>
    <w:rsid w:val="20CE2B02"/>
    <w:rsid w:val="212343F7"/>
    <w:rsid w:val="214A1445"/>
    <w:rsid w:val="219B091A"/>
    <w:rsid w:val="21D332D1"/>
    <w:rsid w:val="21E12E8E"/>
    <w:rsid w:val="21EF55AB"/>
    <w:rsid w:val="22266AF2"/>
    <w:rsid w:val="22280ABD"/>
    <w:rsid w:val="22855EE6"/>
    <w:rsid w:val="22C56648"/>
    <w:rsid w:val="23135F7C"/>
    <w:rsid w:val="23474F72"/>
    <w:rsid w:val="23533917"/>
    <w:rsid w:val="23860B96"/>
    <w:rsid w:val="23DC0243"/>
    <w:rsid w:val="23DC21DF"/>
    <w:rsid w:val="240371BF"/>
    <w:rsid w:val="243178ED"/>
    <w:rsid w:val="24912B4A"/>
    <w:rsid w:val="24A4217B"/>
    <w:rsid w:val="24E011DB"/>
    <w:rsid w:val="24FC2C7E"/>
    <w:rsid w:val="256C0CC0"/>
    <w:rsid w:val="25AE3087"/>
    <w:rsid w:val="261D4255"/>
    <w:rsid w:val="262F1403"/>
    <w:rsid w:val="26862466"/>
    <w:rsid w:val="26865DB2"/>
    <w:rsid w:val="26A30712"/>
    <w:rsid w:val="26AC7104"/>
    <w:rsid w:val="270C4266"/>
    <w:rsid w:val="27613721"/>
    <w:rsid w:val="277919F8"/>
    <w:rsid w:val="27967626"/>
    <w:rsid w:val="27C26A1C"/>
    <w:rsid w:val="28416434"/>
    <w:rsid w:val="297D524A"/>
    <w:rsid w:val="29EB4008"/>
    <w:rsid w:val="29FD04D3"/>
    <w:rsid w:val="2A0E67EA"/>
    <w:rsid w:val="2A211E89"/>
    <w:rsid w:val="2A66511B"/>
    <w:rsid w:val="2BFE58DE"/>
    <w:rsid w:val="2C8A61B5"/>
    <w:rsid w:val="2D0406DC"/>
    <w:rsid w:val="2D33478F"/>
    <w:rsid w:val="2D941C78"/>
    <w:rsid w:val="2DF04E50"/>
    <w:rsid w:val="2E2A4C06"/>
    <w:rsid w:val="2E40383A"/>
    <w:rsid w:val="2E72315C"/>
    <w:rsid w:val="2E836835"/>
    <w:rsid w:val="2EA27501"/>
    <w:rsid w:val="2EA63259"/>
    <w:rsid w:val="2F064184"/>
    <w:rsid w:val="2F326AD7"/>
    <w:rsid w:val="2F627A5E"/>
    <w:rsid w:val="2F9C6B95"/>
    <w:rsid w:val="2FB27C17"/>
    <w:rsid w:val="2FBD1AAD"/>
    <w:rsid w:val="316D736B"/>
    <w:rsid w:val="319E66A5"/>
    <w:rsid w:val="319F7F4E"/>
    <w:rsid w:val="329F73F8"/>
    <w:rsid w:val="3374535A"/>
    <w:rsid w:val="337F1800"/>
    <w:rsid w:val="33F15215"/>
    <w:rsid w:val="34000F51"/>
    <w:rsid w:val="34160775"/>
    <w:rsid w:val="342F6CD8"/>
    <w:rsid w:val="34582BEF"/>
    <w:rsid w:val="346A0AC1"/>
    <w:rsid w:val="347D25A2"/>
    <w:rsid w:val="34CF07C1"/>
    <w:rsid w:val="35142C58"/>
    <w:rsid w:val="35551771"/>
    <w:rsid w:val="361B3D26"/>
    <w:rsid w:val="361D67E0"/>
    <w:rsid w:val="3660217B"/>
    <w:rsid w:val="36624145"/>
    <w:rsid w:val="369F7E41"/>
    <w:rsid w:val="36AA5135"/>
    <w:rsid w:val="36B57593"/>
    <w:rsid w:val="36E65E63"/>
    <w:rsid w:val="37184804"/>
    <w:rsid w:val="37E16F03"/>
    <w:rsid w:val="381F5D4D"/>
    <w:rsid w:val="384635F3"/>
    <w:rsid w:val="38673C95"/>
    <w:rsid w:val="386F419A"/>
    <w:rsid w:val="38784BC6"/>
    <w:rsid w:val="389B749B"/>
    <w:rsid w:val="391A56D5"/>
    <w:rsid w:val="395C1EAC"/>
    <w:rsid w:val="395D0BF4"/>
    <w:rsid w:val="397E2D4B"/>
    <w:rsid w:val="3986014B"/>
    <w:rsid w:val="39C1487F"/>
    <w:rsid w:val="39C33EB2"/>
    <w:rsid w:val="3A590C26"/>
    <w:rsid w:val="3B367023"/>
    <w:rsid w:val="3BA05B46"/>
    <w:rsid w:val="3C3E4539"/>
    <w:rsid w:val="3D2959BD"/>
    <w:rsid w:val="3D4D7047"/>
    <w:rsid w:val="3D556D69"/>
    <w:rsid w:val="3D7E6114"/>
    <w:rsid w:val="3D98207C"/>
    <w:rsid w:val="3DAD1E25"/>
    <w:rsid w:val="3DB41B96"/>
    <w:rsid w:val="3E426637"/>
    <w:rsid w:val="3E6309CA"/>
    <w:rsid w:val="3E6502E3"/>
    <w:rsid w:val="3EF62BA4"/>
    <w:rsid w:val="3F1E0E25"/>
    <w:rsid w:val="3F350958"/>
    <w:rsid w:val="3F4F0FDF"/>
    <w:rsid w:val="40C758D4"/>
    <w:rsid w:val="40EC0335"/>
    <w:rsid w:val="41555250"/>
    <w:rsid w:val="41A860D3"/>
    <w:rsid w:val="41D52C03"/>
    <w:rsid w:val="42154762"/>
    <w:rsid w:val="430F2F5F"/>
    <w:rsid w:val="433359A4"/>
    <w:rsid w:val="43BC614F"/>
    <w:rsid w:val="444F0847"/>
    <w:rsid w:val="445E35D2"/>
    <w:rsid w:val="44B813D4"/>
    <w:rsid w:val="44D570FB"/>
    <w:rsid w:val="44E268DA"/>
    <w:rsid w:val="44FE09BB"/>
    <w:rsid w:val="45434ADC"/>
    <w:rsid w:val="45DF43B7"/>
    <w:rsid w:val="45FB0EB4"/>
    <w:rsid w:val="463D7C0D"/>
    <w:rsid w:val="46A81120"/>
    <w:rsid w:val="46B164C6"/>
    <w:rsid w:val="481607C6"/>
    <w:rsid w:val="490D04B6"/>
    <w:rsid w:val="49126618"/>
    <w:rsid w:val="495A5150"/>
    <w:rsid w:val="495C49D3"/>
    <w:rsid w:val="497E2E7D"/>
    <w:rsid w:val="49FB4A02"/>
    <w:rsid w:val="4A0947ED"/>
    <w:rsid w:val="4A4D331B"/>
    <w:rsid w:val="4A627F82"/>
    <w:rsid w:val="4AE5660E"/>
    <w:rsid w:val="4B0A3CE8"/>
    <w:rsid w:val="4B20130B"/>
    <w:rsid w:val="4B4F25DA"/>
    <w:rsid w:val="4B8B6452"/>
    <w:rsid w:val="4BE068DB"/>
    <w:rsid w:val="4BE77ACC"/>
    <w:rsid w:val="4C013661"/>
    <w:rsid w:val="4C2A433B"/>
    <w:rsid w:val="4C3D6D8F"/>
    <w:rsid w:val="4C781A7F"/>
    <w:rsid w:val="4CEA7A4E"/>
    <w:rsid w:val="4D577224"/>
    <w:rsid w:val="4D6B7721"/>
    <w:rsid w:val="4D790D71"/>
    <w:rsid w:val="4D981DA3"/>
    <w:rsid w:val="4DB02E33"/>
    <w:rsid w:val="4DBE1B32"/>
    <w:rsid w:val="4DDE0767"/>
    <w:rsid w:val="4E0655E0"/>
    <w:rsid w:val="4E5C26FB"/>
    <w:rsid w:val="4E6C5709"/>
    <w:rsid w:val="4E8F31A6"/>
    <w:rsid w:val="4EAB630A"/>
    <w:rsid w:val="4EC15329"/>
    <w:rsid w:val="4ECE2238"/>
    <w:rsid w:val="4EEA4880"/>
    <w:rsid w:val="4F224363"/>
    <w:rsid w:val="4F63587C"/>
    <w:rsid w:val="4FF82FCD"/>
    <w:rsid w:val="5003209D"/>
    <w:rsid w:val="50632B3C"/>
    <w:rsid w:val="511300BE"/>
    <w:rsid w:val="51811F3B"/>
    <w:rsid w:val="51917235"/>
    <w:rsid w:val="51D05FAF"/>
    <w:rsid w:val="52950FA7"/>
    <w:rsid w:val="53254F7F"/>
    <w:rsid w:val="53320B51"/>
    <w:rsid w:val="53C86B4E"/>
    <w:rsid w:val="53CE5C28"/>
    <w:rsid w:val="54A2689B"/>
    <w:rsid w:val="54BB1F57"/>
    <w:rsid w:val="54E30A9C"/>
    <w:rsid w:val="55286102"/>
    <w:rsid w:val="552A4CDB"/>
    <w:rsid w:val="55472A2C"/>
    <w:rsid w:val="55925330"/>
    <w:rsid w:val="55E262B1"/>
    <w:rsid w:val="561C0D33"/>
    <w:rsid w:val="568E01E7"/>
    <w:rsid w:val="56B54E23"/>
    <w:rsid w:val="571A36DB"/>
    <w:rsid w:val="57727251"/>
    <w:rsid w:val="579164CA"/>
    <w:rsid w:val="57AE79CC"/>
    <w:rsid w:val="583027D8"/>
    <w:rsid w:val="58C85C32"/>
    <w:rsid w:val="58D81BED"/>
    <w:rsid w:val="590414DF"/>
    <w:rsid w:val="59080725"/>
    <w:rsid w:val="59576751"/>
    <w:rsid w:val="5995178E"/>
    <w:rsid w:val="59FE3DFC"/>
    <w:rsid w:val="5AA224B3"/>
    <w:rsid w:val="5ADE5D9F"/>
    <w:rsid w:val="5AF92295"/>
    <w:rsid w:val="5B2D6C69"/>
    <w:rsid w:val="5B685850"/>
    <w:rsid w:val="5B916FFF"/>
    <w:rsid w:val="5B991B67"/>
    <w:rsid w:val="5BEC31BD"/>
    <w:rsid w:val="5CC26E3C"/>
    <w:rsid w:val="5CD71FC4"/>
    <w:rsid w:val="5D1E2533"/>
    <w:rsid w:val="5D3513BC"/>
    <w:rsid w:val="5D3D64C3"/>
    <w:rsid w:val="5D600B2F"/>
    <w:rsid w:val="5D8C4A1C"/>
    <w:rsid w:val="5D921DB9"/>
    <w:rsid w:val="5E066549"/>
    <w:rsid w:val="5ED57321"/>
    <w:rsid w:val="5ED725C3"/>
    <w:rsid w:val="5ED836FE"/>
    <w:rsid w:val="5EE073F2"/>
    <w:rsid w:val="5F0643E0"/>
    <w:rsid w:val="5F6D4912"/>
    <w:rsid w:val="5F7D36E0"/>
    <w:rsid w:val="600A1C12"/>
    <w:rsid w:val="60C0639C"/>
    <w:rsid w:val="6109503A"/>
    <w:rsid w:val="610E5160"/>
    <w:rsid w:val="612F3E61"/>
    <w:rsid w:val="61F93300"/>
    <w:rsid w:val="621E68C3"/>
    <w:rsid w:val="63793DAC"/>
    <w:rsid w:val="63DD3527"/>
    <w:rsid w:val="642F28A3"/>
    <w:rsid w:val="64D244D3"/>
    <w:rsid w:val="65490347"/>
    <w:rsid w:val="654B66B5"/>
    <w:rsid w:val="658B6DC7"/>
    <w:rsid w:val="659419E1"/>
    <w:rsid w:val="65AE2DFD"/>
    <w:rsid w:val="65E46C8B"/>
    <w:rsid w:val="65FE7073"/>
    <w:rsid w:val="66106E6A"/>
    <w:rsid w:val="6666174A"/>
    <w:rsid w:val="66B14546"/>
    <w:rsid w:val="66BA369C"/>
    <w:rsid w:val="66C26D5F"/>
    <w:rsid w:val="66DD3F88"/>
    <w:rsid w:val="66E26104"/>
    <w:rsid w:val="66F07A63"/>
    <w:rsid w:val="67206C39"/>
    <w:rsid w:val="673B5263"/>
    <w:rsid w:val="67EE3F72"/>
    <w:rsid w:val="68232E85"/>
    <w:rsid w:val="6833069F"/>
    <w:rsid w:val="68676D4D"/>
    <w:rsid w:val="6875340B"/>
    <w:rsid w:val="688D19DD"/>
    <w:rsid w:val="689F0032"/>
    <w:rsid w:val="68B834D5"/>
    <w:rsid w:val="6928618E"/>
    <w:rsid w:val="69AF0EE7"/>
    <w:rsid w:val="6A7C062B"/>
    <w:rsid w:val="6AB94A23"/>
    <w:rsid w:val="6AC76DE5"/>
    <w:rsid w:val="6B451ADC"/>
    <w:rsid w:val="6B680368"/>
    <w:rsid w:val="6B7B638D"/>
    <w:rsid w:val="6B9C7FAF"/>
    <w:rsid w:val="6BB71D16"/>
    <w:rsid w:val="6C030E4B"/>
    <w:rsid w:val="6C4A05C8"/>
    <w:rsid w:val="6C5F4664"/>
    <w:rsid w:val="6C60046D"/>
    <w:rsid w:val="6C6677E4"/>
    <w:rsid w:val="6C697FF8"/>
    <w:rsid w:val="6CC53F8B"/>
    <w:rsid w:val="6D864915"/>
    <w:rsid w:val="6DB8406F"/>
    <w:rsid w:val="6E256FA5"/>
    <w:rsid w:val="6E7E3605"/>
    <w:rsid w:val="6F4A300B"/>
    <w:rsid w:val="6FF5CC65"/>
    <w:rsid w:val="70205D57"/>
    <w:rsid w:val="70231548"/>
    <w:rsid w:val="7026121F"/>
    <w:rsid w:val="705067E1"/>
    <w:rsid w:val="709D12FB"/>
    <w:rsid w:val="70D13822"/>
    <w:rsid w:val="7118629C"/>
    <w:rsid w:val="714300F4"/>
    <w:rsid w:val="715C0E4B"/>
    <w:rsid w:val="71786DFE"/>
    <w:rsid w:val="71B85C66"/>
    <w:rsid w:val="71E35BA5"/>
    <w:rsid w:val="72280003"/>
    <w:rsid w:val="7265261F"/>
    <w:rsid w:val="72734D90"/>
    <w:rsid w:val="72C717F7"/>
    <w:rsid w:val="73AD73D5"/>
    <w:rsid w:val="73B6EB34"/>
    <w:rsid w:val="747E784D"/>
    <w:rsid w:val="748A603A"/>
    <w:rsid w:val="74AE7F7A"/>
    <w:rsid w:val="74FC2209"/>
    <w:rsid w:val="75057F0E"/>
    <w:rsid w:val="75367A4E"/>
    <w:rsid w:val="75797C0B"/>
    <w:rsid w:val="769F11E5"/>
    <w:rsid w:val="76E25CB9"/>
    <w:rsid w:val="773B1404"/>
    <w:rsid w:val="77A95662"/>
    <w:rsid w:val="77B6259E"/>
    <w:rsid w:val="77DE0B76"/>
    <w:rsid w:val="789254BD"/>
    <w:rsid w:val="78D9582D"/>
    <w:rsid w:val="79134850"/>
    <w:rsid w:val="79424897"/>
    <w:rsid w:val="794964B0"/>
    <w:rsid w:val="799C7304"/>
    <w:rsid w:val="79BF22E2"/>
    <w:rsid w:val="79EE5BA4"/>
    <w:rsid w:val="7A34379D"/>
    <w:rsid w:val="7A894339"/>
    <w:rsid w:val="7AA33FB8"/>
    <w:rsid w:val="7ABF3F1B"/>
    <w:rsid w:val="7AF63064"/>
    <w:rsid w:val="7B912AFA"/>
    <w:rsid w:val="7BE91898"/>
    <w:rsid w:val="7C830B13"/>
    <w:rsid w:val="7CBC6FAC"/>
    <w:rsid w:val="7D4E40A8"/>
    <w:rsid w:val="7DE14F1D"/>
    <w:rsid w:val="7E1A50C9"/>
    <w:rsid w:val="7E1B39CD"/>
    <w:rsid w:val="7E6414E0"/>
    <w:rsid w:val="7E8A564E"/>
    <w:rsid w:val="7EEF11D3"/>
    <w:rsid w:val="7F5F7F97"/>
    <w:rsid w:val="7F923FF5"/>
    <w:rsid w:val="7F995426"/>
    <w:rsid w:val="7FA30C79"/>
    <w:rsid w:val="7FAE2D7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正文2"/>
    <w:basedOn w:val="1"/>
    <w:next w:val="1"/>
    <w:qFormat/>
    <w:uiPriority w:val="99"/>
  </w:style>
  <w:style w:type="paragraph" w:styleId="6">
    <w:name w:val="annotation text"/>
    <w:basedOn w:val="1"/>
    <w:unhideWhenUsed/>
    <w:qFormat/>
    <w:uiPriority w:val="99"/>
    <w:pPr>
      <w:jc w:val="left"/>
    </w:pPr>
  </w:style>
  <w:style w:type="paragraph" w:styleId="7">
    <w:name w:val="Body Text"/>
    <w:basedOn w:val="1"/>
    <w:next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3"/>
    <w:qFormat/>
    <w:uiPriority w:val="9"/>
    <w:rPr>
      <w:rFonts w:ascii="Times New Roman" w:hAnsi="Times New Roman"/>
      <w:b/>
      <w:bCs/>
      <w:kern w:val="44"/>
      <w:sz w:val="44"/>
      <w:szCs w:val="44"/>
    </w:rPr>
  </w:style>
  <w:style w:type="character" w:customStyle="1" w:styleId="29">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WPSOffice手动目录 1"/>
    <w:qFormat/>
    <w:uiPriority w:val="0"/>
    <w:pPr>
      <w:ind w:leftChars="0"/>
    </w:pPr>
    <w:rPr>
      <w:rFonts w:asciiTheme="minorHAnsi" w:hAnsiTheme="minorHAnsi" w:eastAsiaTheme="minorEastAsia" w:cstheme="minorBidi"/>
      <w:sz w:val="20"/>
      <w:szCs w:val="20"/>
    </w:rPr>
  </w:style>
  <w:style w:type="paragraph" w:customStyle="1" w:styleId="35">
    <w:name w:val="WPSOffice手动目录 2"/>
    <w:qFormat/>
    <w:uiPriority w:val="0"/>
    <w:pPr>
      <w:ind w:leftChars="200"/>
    </w:pPr>
    <w:rPr>
      <w:rFonts w:asciiTheme="minorHAnsi" w:hAnsiTheme="minorHAnsi" w:eastAsiaTheme="minorEastAsia" w:cstheme="minorBidi"/>
      <w:sz w:val="20"/>
      <w:szCs w:val="20"/>
    </w:rPr>
  </w:style>
  <w:style w:type="paragraph" w:customStyle="1" w:styleId="36">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270194796349272"/>
          <c:y val="0.027880063124671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Sheet1!$A$2:$A$3</c:f>
              <c:strCache>
                <c:ptCount val="2"/>
                <c:pt idx="0">
                  <c:v>2020年</c:v>
                </c:pt>
                <c:pt idx="1">
                  <c:v>2021年</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13316</c:v>
                </c:pt>
                <c:pt idx="1">
                  <c:v>15159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Sheet1!$A$2:$A$3</c:f>
              <c:strCache>
                <c:ptCount val="2"/>
                <c:pt idx="0">
                  <c:v>2020年</c:v>
                </c:pt>
                <c:pt idx="1">
                  <c:v>2021年</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13316</c:v>
                </c:pt>
                <c:pt idx="1">
                  <c:v>15159</c:v>
                </c:pt>
              </c:numCache>
            </c:numRef>
          </c:val>
        </c:ser>
        <c:dLbls>
          <c:showLegendKey val="0"/>
          <c:showVal val="0"/>
          <c:showCatName val="0"/>
          <c:showSerName val="0"/>
          <c:showPercent val="0"/>
          <c:showBubbleSize val="0"/>
        </c:dLbls>
        <c:gapWidth val="219"/>
        <c:overlap val="-27"/>
        <c:axId val="349343844"/>
        <c:axId val="35608641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Sheet1!$A$2:$A$3</c15:sqref>
                        </c15:fullRef>
                        <c15:formulaRef>
                          <c15:sqref>Sheet1!$A$2:$A$3</c15:sqref>
                        </c15:formulaRef>
                      </c:ext>
                    </c:extLst>
                    <c:strCache>
                      <c:ptCount val="2"/>
                      <c:pt idx="0">
                        <c:v>2020年</c:v>
                      </c:pt>
                      <c:pt idx="1">
                        <c:v>2021年</c:v>
                      </c:pt>
                    </c:strCache>
                  </c:strRef>
                </c:cat>
              </c15:ser>
            </c15:filteredBarSeries>
          </c:ext>
        </c:extLst>
      </c:barChart>
      <c:catAx>
        <c:axId val="3493438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086416"/>
        <c:crosses val="autoZero"/>
        <c:auto val="1"/>
        <c:lblAlgn val="ctr"/>
        <c:lblOffset val="100"/>
        <c:noMultiLvlLbl val="0"/>
      </c:catAx>
      <c:valAx>
        <c:axId val="35608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3438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收入决算结构图</a:t>
            </a:r>
            <a:endParaRPr altLang="zh-CN"/>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strCache>
            </c:strRef>
          </c:cat>
          <c:val>
            <c:numRef>
              <c:f>Sheet1!$B$2:$B$5</c:f>
              <c:numCache>
                <c:formatCode>General</c:formatCode>
                <c:ptCount val="4"/>
                <c:pt idx="0">
                  <c:v>13429</c:v>
                </c:pt>
                <c:pt idx="1">
                  <c:v>1730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支出决算结构图</a:t>
            </a:r>
          </a:p>
        </c:rich>
      </c:tx>
      <c:layout/>
      <c:overlay val="1"/>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销售额</c:v>
                </c:pt>
              </c:strCache>
            </c:strRef>
          </c:tx>
          <c:spPr/>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10800</c:v>
                </c:pt>
                <c:pt idx="1">
                  <c:v>4359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manualLayout>
          <c:layoutTarget val="inner"/>
          <c:xMode val="edge"/>
          <c:yMode val="edge"/>
          <c:x val="0.136042987048774"/>
          <c:y val="0.159012131715771"/>
          <c:w val="0.841499035546983"/>
          <c:h val="0.554766031195841"/>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2020年</c:v>
                </c:pt>
                <c:pt idx="1">
                  <c:v>2021年</c:v>
                </c:pt>
              </c:strCache>
            </c:strRef>
          </c:cat>
          <c:val>
            <c:numRef>
              <c:f>Sheet1!$B$2:$B$5</c:f>
              <c:numCache>
                <c:formatCode>General</c:formatCode>
                <c:ptCount val="4"/>
                <c:pt idx="0">
                  <c:v>13316</c:v>
                </c:pt>
                <c:pt idx="1">
                  <c:v>15159</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2020年</c:v>
                </c:pt>
                <c:pt idx="1">
                  <c:v>2021年</c:v>
                </c:pt>
              </c:strCache>
            </c:strRef>
          </c:cat>
          <c:val>
            <c:numRef>
              <c:f>Sheet1!$C$2:$C$5</c:f>
              <c:numCache>
                <c:formatCode>General</c:formatCode>
                <c:ptCount val="4"/>
                <c:pt idx="0">
                  <c:v>13316</c:v>
                </c:pt>
                <c:pt idx="1">
                  <c:v>15159</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2020年</c:v>
                </c:pt>
                <c:pt idx="1">
                  <c:v>2021年</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29555492"/>
        <c:axId val="618213285"/>
      </c:barChart>
      <c:catAx>
        <c:axId val="1295554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213285"/>
        <c:crosses val="autoZero"/>
        <c:auto val="1"/>
        <c:lblAlgn val="ctr"/>
        <c:lblOffset val="100"/>
        <c:noMultiLvlLbl val="0"/>
      </c:catAx>
      <c:valAx>
        <c:axId val="61821328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95554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112705121829935"/>
          <c:y val="0.179210647085819"/>
          <c:w val="0.883068125310791"/>
          <c:h val="0.599219825608077"/>
        </c:manualLayout>
      </c:layout>
      <c:barChart>
        <c:barDir val="col"/>
        <c:grouping val="clustered"/>
        <c:varyColors val="0"/>
        <c:ser>
          <c:idx val="0"/>
          <c:order val="0"/>
          <c:tx>
            <c:strRef>
              <c:f>Sheet1!$B$1</c:f>
              <c:strCache>
                <c:ptCount val="1"/>
                <c:pt idx="0">
                  <c:v>2020年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Sheet1!$A$2:$A$5</c:f>
              <c:strCache>
                <c:ptCount val="4"/>
                <c:pt idx="0">
                  <c:v>一般公共预算财政拨款支出决算</c:v>
                </c:pt>
              </c:strCache>
            </c:strRef>
          </c:cat>
          <c:val>
            <c:numRef>
              <c:f>Sheet1!$B$2:$B$5</c:f>
              <c:numCache>
                <c:formatCode>General</c:formatCode>
                <c:ptCount val="4"/>
                <c:pt idx="0">
                  <c:v>12971</c:v>
                </c:pt>
              </c:numCache>
            </c:numRef>
          </c:val>
        </c:ser>
        <c:ser>
          <c:idx val="1"/>
          <c:order val="1"/>
          <c:tx>
            <c:strRef>
              <c:f>Sheet1!$C$1</c:f>
              <c:strCache>
                <c:ptCount val="1"/>
                <c:pt idx="0">
                  <c:v>2021年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Sheet1!$A$2:$A$5</c:f>
              <c:strCache>
                <c:ptCount val="4"/>
                <c:pt idx="0">
                  <c:v>一般公共预算财政拨款支出决算</c:v>
                </c:pt>
              </c:strCache>
            </c:strRef>
          </c:cat>
          <c:val>
            <c:numRef>
              <c:f>Sheet1!$C$2:$C$5</c:f>
              <c:numCache>
                <c:formatCode>General</c:formatCode>
                <c:ptCount val="4"/>
                <c:pt idx="0">
                  <c:v>13429</c:v>
                </c:pt>
              </c:numCache>
            </c:numRef>
          </c:val>
        </c:ser>
        <c:ser>
          <c:idx val="2"/>
          <c:order val="2"/>
          <c:tx>
            <c:strRef>
              <c:f>Sheet1!$D$1</c:f>
              <c:strCache>
                <c:ptCount val="1"/>
                <c:pt idx="0">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Sheet1!$A$2:$A$5</c:f>
              <c:strCache>
                <c:ptCount val="4"/>
                <c:pt idx="0">
                  <c:v>一般公共预算财政拨款支出决算</c:v>
                </c:pt>
              </c:strCache>
            </c:strRef>
          </c:cat>
          <c:val>
            <c:numRef>
              <c:f>Sheet1!$D$2:$D$5</c:f>
              <c:numCache>
                <c:formatCode>General</c:formatCode>
                <c:ptCount val="4"/>
              </c:numCache>
            </c:numRef>
          </c:val>
        </c:ser>
        <c:dLbls>
          <c:showLegendKey val="0"/>
          <c:showVal val="0"/>
          <c:showCatName val="0"/>
          <c:showSerName val="0"/>
          <c:showPercent val="0"/>
          <c:showBubbleSize val="0"/>
        </c:dLbls>
        <c:gapWidth val="100"/>
        <c:overlap val="-24"/>
        <c:axId val="130239207"/>
        <c:axId val="943407717"/>
      </c:barChart>
      <c:catAx>
        <c:axId val="130239207"/>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943407717"/>
        <c:crosses val="autoZero"/>
        <c:auto val="1"/>
        <c:lblAlgn val="ctr"/>
        <c:lblOffset val="100"/>
        <c:noMultiLvlLbl val="0"/>
      </c:catAx>
      <c:valAx>
        <c:axId val="943407717"/>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130239207"/>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一般公共预算财政拨款支出决算结构</a:t>
            </a:r>
          </a:p>
        </c:rich>
      </c:tx>
      <c:layout>
        <c:manualLayout>
          <c:xMode val="edge"/>
          <c:yMode val="edge"/>
          <c:x val="0.212586339217191"/>
          <c:y val="0.00739644970414201"/>
        </c:manualLayout>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销售额</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Pt>
            <c:idx val="1"/>
            <c:bubble3D val="0"/>
            <c:spPr>
              <a:solidFill>
                <a:srgbClr val="75D890">
                  <a:alpha val="67000"/>
                </a:srgbClr>
              </a:solidFill>
              <a:ln w="19050" cap="rnd">
                <a:noFill/>
                <a:round/>
              </a:ln>
              <a:effectLst/>
            </c:spPr>
          </c:dPt>
          <c:dPt>
            <c:idx val="2"/>
            <c:bubble3D val="0"/>
            <c:spPr>
              <a:solidFill>
                <a:srgbClr val="FB7E72">
                  <a:alpha val="67000"/>
                </a:srgbClr>
              </a:solidFill>
              <a:ln w="19050" cap="rnd">
                <a:noFill/>
                <a:round/>
              </a:ln>
              <a:effectLst/>
            </c:spPr>
          </c:dPt>
          <c:dPt>
            <c:idx val="3"/>
            <c:bubble3D val="0"/>
            <c:spPr>
              <a:solidFill>
                <a:srgbClr val="F8AC41">
                  <a:alpha val="67000"/>
                </a:srgbClr>
              </a:solidFill>
              <a:ln w="19050" cap="rnd">
                <a:noFill/>
                <a:round/>
              </a:ln>
              <a:effectLst/>
            </c:spPr>
          </c:dPt>
          <c:dPt>
            <c:idx val="4"/>
            <c:bubble3D val="0"/>
            <c:spPr>
              <a:solidFill>
                <a:srgbClr val="63B1EF">
                  <a:alpha val="67000"/>
                </a:srgbClr>
              </a:solidFill>
              <a:ln w="19050" cap="rnd">
                <a:noFill/>
                <a:round/>
              </a:ln>
              <a:effectLst/>
            </c:spPr>
          </c:dPt>
          <c:dLbls>
            <c:dLbl>
              <c:idx val="1"/>
              <c:layout>
                <c:manualLayout>
                  <c:x val="-0.164961325504808"/>
                  <c:y val="0.1459801006424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0567039034777"/>
                  <c:y val="-0.0226932146940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73603862016263"/>
                  <c:y val="0.030125622735338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53739579367624"/>
                  <c:y val="0.01290102605805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公共安全支出</c:v>
                </c:pt>
                <c:pt idx="1">
                  <c:v>社会保障和就业支出</c:v>
                </c:pt>
                <c:pt idx="2">
                  <c:v>卫生健康支出</c:v>
                </c:pt>
                <c:pt idx="3">
                  <c:v>农林水支出</c:v>
                </c:pt>
                <c:pt idx="4">
                  <c:v>住房保障支出</c:v>
                </c:pt>
              </c:strCache>
            </c:strRef>
          </c:cat>
          <c:val>
            <c:numRef>
              <c:f>Sheet1!$B$2:$B$6</c:f>
              <c:numCache>
                <c:formatCode>General</c:formatCode>
                <c:ptCount val="5"/>
                <c:pt idx="0">
                  <c:v>12160</c:v>
                </c:pt>
                <c:pt idx="1">
                  <c:v>502</c:v>
                </c:pt>
                <c:pt idx="2">
                  <c:v>381</c:v>
                </c:pt>
                <c:pt idx="3">
                  <c:v>11</c:v>
                </c:pt>
                <c:pt idx="4">
                  <c:v>375</c:v>
                </c:pt>
              </c:numCache>
            </c:numRef>
          </c:val>
        </c:ser>
        <c:dLbls>
          <c:showLegendKey val="0"/>
          <c:showVal val="1"/>
          <c:showCatName val="0"/>
          <c:showSerName val="0"/>
          <c:showPercent val="0"/>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rPr lang="en-US" altLang="zh-CN"/>
              <a:t>“</a:t>
            </a:r>
            <a:r>
              <a:rPr altLang="en-US"/>
              <a:t>三公</a:t>
            </a:r>
            <a:r>
              <a:rPr lang="en-US" altLang="zh-CN"/>
              <a:t>”</a:t>
            </a:r>
            <a:r>
              <a:rPr altLang="en-US"/>
              <a:t>经费财政拨款支出结构</a:t>
            </a:r>
            <a:endParaRPr altLang="en-US"/>
          </a:p>
        </c:rich>
      </c:tx>
      <c:layout/>
      <c:overlay val="1"/>
      <c:spPr>
        <a:noFill/>
        <a:ln>
          <a:noFill/>
        </a:ln>
        <a:effectLst/>
      </c:spPr>
    </c:title>
    <c:autoTitleDeleted val="0"/>
    <c:plotArea>
      <c:layout>
        <c:manualLayout>
          <c:layoutTarget val="inner"/>
          <c:xMode val="edge"/>
          <c:yMode val="edge"/>
          <c:x val="0.198492063492063"/>
          <c:y val="0.138156176547401"/>
          <c:w val="0.436666666666667"/>
          <c:h val="0.718464351005484"/>
        </c:manualLayout>
      </c:layout>
      <c:pieChart>
        <c:varyColors val="1"/>
        <c:ser>
          <c:idx val="0"/>
          <c:order val="0"/>
          <c:tx>
            <c:strRef>
              <c:f>Sheet1!$B$1</c:f>
              <c:strCache>
                <c:ptCount val="1"/>
                <c:pt idx="0">
                  <c:v>11</c:v>
                </c:pt>
              </c:strCache>
            </c:strRef>
          </c:tx>
          <c:spPr/>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dLbl>
              <c:idx val="0"/>
              <c:layout>
                <c:manualLayout>
                  <c:x val="-0.0772216830722307"/>
                  <c:y val="0.01123817034700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9010252365930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8844522538348"/>
                  <c:y val="0.01563172482828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因公出国（境）费</c:v>
                </c:pt>
                <c:pt idx="1">
                  <c:v>公务用车购置及运行维护费</c:v>
                </c:pt>
                <c:pt idx="2">
                  <c:v>公务接待费</c:v>
                </c:pt>
              </c:strCache>
            </c:strRef>
          </c:cat>
          <c:val>
            <c:numRef>
              <c:f>Sheet1!$B$2:$B$5</c:f>
              <c:numCache>
                <c:formatCode>General</c:formatCode>
                <c:ptCount val="4"/>
                <c:pt idx="0">
                  <c:v>0</c:v>
                </c:pt>
                <c:pt idx="1">
                  <c:v>58</c:v>
                </c:pt>
                <c:pt idx="2">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70153417015342"/>
          <c:y val="0.29829817833173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15263</Words>
  <Characters>16156</Characters>
  <Lines>61</Lines>
  <Paragraphs>17</Paragraphs>
  <TotalTime>12</TotalTime>
  <ScaleCrop>false</ScaleCrop>
  <LinksUpToDate>false</LinksUpToDate>
  <CharactersWithSpaces>16299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渲尘墨染</cp:lastModifiedBy>
  <cp:lastPrinted>2022-10-18T08:45:00Z</cp:lastPrinted>
  <dcterms:modified xsi:type="dcterms:W3CDTF">2023-11-03T10:16:05Z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A86AEFF1C83F4213B2F3160D030B4B2C_13</vt:lpwstr>
  </property>
</Properties>
</file>